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735" w:rsidRDefault="00054F39" w:rsidP="009D11E1">
      <w:pPr>
        <w:tabs>
          <w:tab w:val="left" w:pos="0"/>
        </w:tabs>
        <w:suppressAutoHyphens/>
        <w:spacing w:after="120" w:line="240" w:lineRule="atLeast"/>
        <w:jc w:val="center"/>
        <w:rPr>
          <w:b/>
          <w:bCs/>
          <w:i/>
          <w:iCs/>
          <w:sz w:val="28"/>
          <w:szCs w:val="28"/>
        </w:rPr>
      </w:pPr>
      <w:r>
        <w:rPr>
          <w:b/>
          <w:bCs/>
          <w:i/>
          <w:iCs/>
          <w:sz w:val="28"/>
          <w:szCs w:val="28"/>
        </w:rPr>
        <w:t xml:space="preserve"> </w:t>
      </w:r>
      <w:r w:rsidR="002D3735">
        <w:rPr>
          <w:b/>
          <w:bCs/>
          <w:i/>
          <w:iCs/>
          <w:sz w:val="28"/>
          <w:szCs w:val="28"/>
        </w:rPr>
        <w:t>Annual Drink</w:t>
      </w:r>
      <w:r w:rsidR="00645F1D">
        <w:rPr>
          <w:b/>
          <w:bCs/>
          <w:i/>
          <w:iCs/>
          <w:sz w:val="28"/>
          <w:szCs w:val="28"/>
        </w:rPr>
        <w:t xml:space="preserve">ing Water Quality Report for </w:t>
      </w:r>
      <w:r w:rsidR="00187E62">
        <w:rPr>
          <w:b/>
          <w:bCs/>
          <w:i/>
          <w:iCs/>
          <w:sz w:val="28"/>
          <w:szCs w:val="28"/>
        </w:rPr>
        <w:t>2021</w:t>
      </w:r>
    </w:p>
    <w:p w:rsidR="00645F1D" w:rsidRPr="009D11E1" w:rsidRDefault="002D3735">
      <w:pPr>
        <w:tabs>
          <w:tab w:val="left" w:pos="0"/>
        </w:tabs>
        <w:suppressAutoHyphens/>
        <w:spacing w:line="240" w:lineRule="atLeast"/>
        <w:jc w:val="center"/>
        <w:rPr>
          <w:b/>
          <w:bCs/>
          <w:iCs/>
          <w:sz w:val="28"/>
          <w:szCs w:val="28"/>
        </w:rPr>
      </w:pPr>
      <w:r w:rsidRPr="009D11E1">
        <w:rPr>
          <w:b/>
          <w:bCs/>
          <w:iCs/>
          <w:sz w:val="28"/>
          <w:szCs w:val="28"/>
        </w:rPr>
        <w:t>Village of Wellsburg</w:t>
      </w:r>
      <w:r w:rsidR="009D11E1" w:rsidRPr="009D11E1">
        <w:rPr>
          <w:b/>
          <w:bCs/>
          <w:iCs/>
          <w:sz w:val="28"/>
          <w:szCs w:val="28"/>
        </w:rPr>
        <w:t xml:space="preserve"> Water Department</w:t>
      </w:r>
    </w:p>
    <w:p w:rsidR="009D11E1" w:rsidRPr="009D11E1" w:rsidRDefault="00843BA8">
      <w:pPr>
        <w:tabs>
          <w:tab w:val="left" w:pos="0"/>
        </w:tabs>
        <w:suppressAutoHyphens/>
        <w:spacing w:line="240" w:lineRule="atLeast"/>
        <w:jc w:val="center"/>
        <w:rPr>
          <w:b/>
          <w:bCs/>
          <w:iCs/>
          <w:sz w:val="22"/>
          <w:szCs w:val="28"/>
        </w:rPr>
      </w:pPr>
      <w:r>
        <w:rPr>
          <w:b/>
          <w:bCs/>
          <w:iCs/>
          <w:sz w:val="24"/>
          <w:szCs w:val="28"/>
        </w:rPr>
        <w:t>3663 Sixth Street</w:t>
      </w:r>
      <w:r>
        <w:rPr>
          <w:b/>
          <w:bCs/>
          <w:iCs/>
          <w:sz w:val="24"/>
          <w:szCs w:val="28"/>
        </w:rPr>
        <w:tab/>
      </w:r>
      <w:r w:rsidR="009D11E1" w:rsidRPr="009D11E1">
        <w:rPr>
          <w:b/>
          <w:bCs/>
          <w:iCs/>
          <w:sz w:val="24"/>
          <w:szCs w:val="28"/>
        </w:rPr>
        <w:t xml:space="preserve"> Wellsburg</w:t>
      </w:r>
      <w:r>
        <w:rPr>
          <w:b/>
          <w:bCs/>
          <w:iCs/>
          <w:sz w:val="24"/>
          <w:szCs w:val="28"/>
        </w:rPr>
        <w:t xml:space="preserve"> </w:t>
      </w:r>
      <w:r w:rsidR="009D11E1" w:rsidRPr="009D11E1">
        <w:rPr>
          <w:b/>
          <w:bCs/>
          <w:iCs/>
          <w:sz w:val="24"/>
          <w:szCs w:val="28"/>
        </w:rPr>
        <w:t xml:space="preserve">NY </w:t>
      </w:r>
      <w:r>
        <w:rPr>
          <w:b/>
          <w:bCs/>
          <w:iCs/>
          <w:sz w:val="24"/>
          <w:szCs w:val="28"/>
        </w:rPr>
        <w:t xml:space="preserve">  </w:t>
      </w:r>
      <w:r w:rsidR="009D11E1" w:rsidRPr="009D11E1">
        <w:rPr>
          <w:b/>
          <w:bCs/>
          <w:iCs/>
          <w:sz w:val="24"/>
          <w:szCs w:val="28"/>
        </w:rPr>
        <w:t>14894</w:t>
      </w:r>
    </w:p>
    <w:p w:rsidR="002D3735" w:rsidRPr="009D11E1" w:rsidRDefault="002D3735">
      <w:pPr>
        <w:tabs>
          <w:tab w:val="left" w:pos="0"/>
        </w:tabs>
        <w:suppressAutoHyphens/>
        <w:spacing w:line="240" w:lineRule="atLeast"/>
        <w:jc w:val="center"/>
        <w:rPr>
          <w:b/>
          <w:bCs/>
          <w:iCs/>
          <w:sz w:val="24"/>
          <w:szCs w:val="28"/>
        </w:rPr>
      </w:pPr>
      <w:r w:rsidRPr="009D11E1">
        <w:rPr>
          <w:b/>
          <w:bCs/>
          <w:iCs/>
          <w:sz w:val="24"/>
          <w:szCs w:val="28"/>
        </w:rPr>
        <w:t>Public Water Supply ID# NY0701010</w:t>
      </w:r>
    </w:p>
    <w:p w:rsidR="002D3735" w:rsidRDefault="002D3735">
      <w:pPr>
        <w:tabs>
          <w:tab w:val="left" w:pos="0"/>
        </w:tabs>
        <w:suppressAutoHyphens/>
        <w:spacing w:line="240" w:lineRule="atLeast"/>
        <w:jc w:val="center"/>
        <w:rPr>
          <w:sz w:val="28"/>
          <w:szCs w:val="28"/>
        </w:rPr>
      </w:pPr>
    </w:p>
    <w:p w:rsidR="002D3735" w:rsidRPr="009F326F" w:rsidRDefault="002D3735">
      <w:pPr>
        <w:pStyle w:val="BodyText2"/>
        <w:rPr>
          <w:sz w:val="22"/>
          <w:szCs w:val="22"/>
        </w:rPr>
      </w:pPr>
      <w:r w:rsidRPr="009F326F">
        <w:rPr>
          <w:sz w:val="22"/>
          <w:szCs w:val="22"/>
        </w:rPr>
        <w:t xml:space="preserve">To comply with State regulations, the Village of Wellsburg will be annually issuing a report describing the quality of your drinking water.  The purpose of this report is to raise your understanding of drinking water and awareness of the need to protect our drinking water sources.  Last year, your tap water met all State drinking water health standards.  This report provides an overview of last year's water quality.  Included are details about where your water comes from, what it contains, and how it compares to State standards.  </w:t>
      </w:r>
    </w:p>
    <w:p w:rsidR="002D3735" w:rsidRPr="009F326F" w:rsidRDefault="002D3735">
      <w:pPr>
        <w:tabs>
          <w:tab w:val="left" w:pos="0"/>
        </w:tabs>
        <w:suppressAutoHyphens/>
        <w:spacing w:after="120" w:line="240" w:lineRule="atLeast"/>
        <w:rPr>
          <w:sz w:val="22"/>
          <w:szCs w:val="22"/>
        </w:rPr>
      </w:pPr>
      <w:r w:rsidRPr="009F326F">
        <w:rPr>
          <w:sz w:val="22"/>
          <w:szCs w:val="22"/>
        </w:rPr>
        <w:t xml:space="preserve">If you have any questions about this report or concerning your drinking water, please contact our licensed water system operator, Mike </w:t>
      </w:r>
      <w:proofErr w:type="spellStart"/>
      <w:r w:rsidRPr="009F326F">
        <w:rPr>
          <w:sz w:val="22"/>
          <w:szCs w:val="22"/>
        </w:rPr>
        <w:t>Steck</w:t>
      </w:r>
      <w:proofErr w:type="spellEnd"/>
      <w:r w:rsidRPr="009F326F">
        <w:rPr>
          <w:sz w:val="22"/>
          <w:szCs w:val="22"/>
        </w:rPr>
        <w:t>, at (607) 565-2594</w:t>
      </w:r>
      <w:r w:rsidR="00C329B9">
        <w:rPr>
          <w:sz w:val="22"/>
          <w:szCs w:val="22"/>
        </w:rPr>
        <w:t>.</w:t>
      </w:r>
      <w:r w:rsidRPr="009F326F">
        <w:rPr>
          <w:sz w:val="22"/>
          <w:szCs w:val="22"/>
        </w:rPr>
        <w:t xml:space="preserve">  If you wish to learn more, please attend any of our regularly scheduled Village Board meetings.  The</w:t>
      </w:r>
      <w:r w:rsidR="009D11E1" w:rsidRPr="009F326F">
        <w:rPr>
          <w:sz w:val="22"/>
          <w:szCs w:val="22"/>
        </w:rPr>
        <w:t xml:space="preserve"> meetings are held at 7:00 p.m. </w:t>
      </w:r>
      <w:r w:rsidRPr="009F326F">
        <w:rPr>
          <w:sz w:val="22"/>
          <w:szCs w:val="22"/>
        </w:rPr>
        <w:t xml:space="preserve">the </w:t>
      </w:r>
      <w:r w:rsidR="00453AD9">
        <w:rPr>
          <w:sz w:val="22"/>
          <w:szCs w:val="22"/>
        </w:rPr>
        <w:t>second Monday</w:t>
      </w:r>
      <w:r w:rsidRPr="009F326F">
        <w:rPr>
          <w:sz w:val="22"/>
          <w:szCs w:val="22"/>
        </w:rPr>
        <w:t xml:space="preserve"> of each month at the </w:t>
      </w:r>
      <w:r w:rsidR="00C1396E" w:rsidRPr="009F326F">
        <w:rPr>
          <w:sz w:val="22"/>
          <w:szCs w:val="22"/>
        </w:rPr>
        <w:t xml:space="preserve">Ashland </w:t>
      </w:r>
      <w:r w:rsidR="009D11E1" w:rsidRPr="009F326F">
        <w:rPr>
          <w:sz w:val="22"/>
          <w:szCs w:val="22"/>
        </w:rPr>
        <w:t>Town Hall.</w:t>
      </w:r>
    </w:p>
    <w:p w:rsidR="002D3735" w:rsidRPr="009F326F" w:rsidRDefault="002D3735">
      <w:pPr>
        <w:tabs>
          <w:tab w:val="left" w:pos="0"/>
        </w:tabs>
        <w:suppressAutoHyphens/>
        <w:spacing w:line="240" w:lineRule="atLeast"/>
        <w:rPr>
          <w:sz w:val="22"/>
          <w:szCs w:val="22"/>
        </w:rPr>
      </w:pPr>
      <w:r w:rsidRPr="009F326F">
        <w:rPr>
          <w:b/>
          <w:bCs/>
          <w:sz w:val="22"/>
          <w:szCs w:val="22"/>
        </w:rPr>
        <w:t>Where does our water come from?</w:t>
      </w:r>
    </w:p>
    <w:p w:rsidR="002D3735" w:rsidRPr="009F326F" w:rsidRDefault="002D3735">
      <w:pPr>
        <w:tabs>
          <w:tab w:val="left" w:pos="0"/>
        </w:tabs>
        <w:suppressAutoHyphens/>
        <w:spacing w:after="120" w:line="240" w:lineRule="atLeast"/>
        <w:rPr>
          <w:sz w:val="22"/>
          <w:szCs w:val="22"/>
        </w:rPr>
      </w:pPr>
      <w:r w:rsidRPr="009F326F">
        <w:rPr>
          <w:sz w:val="22"/>
          <w:szCs w:val="22"/>
        </w:rPr>
        <w:t xml:space="preserve">In general, the sources of drinking water (both tap water and bottled water) include rivers, lakes, streams, ponds, reservoirs, springs, and wells.  As water travels over the surface of the land or through the ground, it dissolves naturally-occurring minerals and can pick up substances resulting from the presence of animals or from human activities.  Contaminants that may be present in source water include: microbial contaminants; inorganic contaminants; pesticides and herbicides; organic chemical contaminants; and radioactive contaminants.  In order to ensure that tap water is safe to drink, the State and the EPA prescribe regulations, which limit the </w:t>
      </w:r>
      <w:proofErr w:type="gramStart"/>
      <w:r w:rsidRPr="009F326F">
        <w:rPr>
          <w:sz w:val="22"/>
          <w:szCs w:val="22"/>
        </w:rPr>
        <w:t>amount</w:t>
      </w:r>
      <w:proofErr w:type="gramEnd"/>
      <w:r w:rsidRPr="009F326F">
        <w:rPr>
          <w:sz w:val="22"/>
          <w:szCs w:val="22"/>
        </w:rPr>
        <w:t xml:space="preserve"> of certain contaminants in water provided by public water systems.  The State Health </w:t>
      </w:r>
      <w:proofErr w:type="spellStart"/>
      <w:r w:rsidRPr="009F326F">
        <w:rPr>
          <w:sz w:val="22"/>
          <w:szCs w:val="22"/>
        </w:rPr>
        <w:t>Department's</w:t>
      </w:r>
      <w:proofErr w:type="spellEnd"/>
      <w:r w:rsidRPr="009F326F">
        <w:rPr>
          <w:sz w:val="22"/>
          <w:szCs w:val="22"/>
        </w:rPr>
        <w:t xml:space="preserve"> and the FDA's regulations establish limits for contaminants in bottled water which must provide the same protection for public health.</w:t>
      </w:r>
    </w:p>
    <w:p w:rsidR="009D11E1" w:rsidRPr="009F326F" w:rsidRDefault="002D3735" w:rsidP="0007292F">
      <w:pPr>
        <w:tabs>
          <w:tab w:val="left" w:pos="4770"/>
        </w:tabs>
        <w:spacing w:after="120"/>
        <w:rPr>
          <w:sz w:val="22"/>
          <w:szCs w:val="22"/>
        </w:rPr>
      </w:pPr>
      <w:r w:rsidRPr="009F326F">
        <w:rPr>
          <w:sz w:val="22"/>
          <w:szCs w:val="22"/>
        </w:rPr>
        <w:t xml:space="preserve">We purchase our water from the Elmira Water Board.  The water is a </w:t>
      </w:r>
      <w:r w:rsidR="004A6573" w:rsidRPr="009F326F">
        <w:rPr>
          <w:sz w:val="22"/>
          <w:szCs w:val="22"/>
        </w:rPr>
        <w:t>blend</w:t>
      </w:r>
      <w:r w:rsidRPr="009F326F">
        <w:rPr>
          <w:sz w:val="22"/>
          <w:szCs w:val="22"/>
        </w:rPr>
        <w:t xml:space="preserve"> of </w:t>
      </w:r>
      <w:r w:rsidR="00645F1D" w:rsidRPr="009F326F">
        <w:rPr>
          <w:sz w:val="22"/>
          <w:szCs w:val="22"/>
        </w:rPr>
        <w:t>river</w:t>
      </w:r>
      <w:r w:rsidR="004A6573" w:rsidRPr="009F326F">
        <w:rPr>
          <w:sz w:val="22"/>
          <w:szCs w:val="22"/>
        </w:rPr>
        <w:t xml:space="preserve"> and well water that is </w:t>
      </w:r>
      <w:r w:rsidRPr="009F326F">
        <w:rPr>
          <w:sz w:val="22"/>
          <w:szCs w:val="22"/>
        </w:rPr>
        <w:t>treat</w:t>
      </w:r>
      <w:r w:rsidR="004A6573" w:rsidRPr="009F326F">
        <w:rPr>
          <w:sz w:val="22"/>
          <w:szCs w:val="22"/>
        </w:rPr>
        <w:t>ed</w:t>
      </w:r>
      <w:r w:rsidRPr="009F326F">
        <w:rPr>
          <w:sz w:val="22"/>
          <w:szCs w:val="22"/>
        </w:rPr>
        <w:t xml:space="preserve"> and filt</w:t>
      </w:r>
      <w:r w:rsidR="004A6573" w:rsidRPr="009F326F">
        <w:rPr>
          <w:sz w:val="22"/>
          <w:szCs w:val="22"/>
        </w:rPr>
        <w:t>e</w:t>
      </w:r>
      <w:r w:rsidRPr="009F326F">
        <w:rPr>
          <w:sz w:val="22"/>
          <w:szCs w:val="22"/>
        </w:rPr>
        <w:t>r</w:t>
      </w:r>
      <w:r w:rsidR="004A6573" w:rsidRPr="009F326F">
        <w:rPr>
          <w:sz w:val="22"/>
          <w:szCs w:val="22"/>
        </w:rPr>
        <w:t>ed.</w:t>
      </w:r>
      <w:r w:rsidRPr="009F326F">
        <w:rPr>
          <w:sz w:val="22"/>
          <w:szCs w:val="22"/>
        </w:rPr>
        <w:t xml:space="preserve"> </w:t>
      </w:r>
      <w:r w:rsidR="004A6573" w:rsidRPr="009F326F">
        <w:rPr>
          <w:sz w:val="22"/>
          <w:szCs w:val="22"/>
        </w:rPr>
        <w:t>Elmira</w:t>
      </w:r>
      <w:r w:rsidR="00645F1D" w:rsidRPr="009F326F">
        <w:rPr>
          <w:sz w:val="22"/>
          <w:szCs w:val="22"/>
        </w:rPr>
        <w:t xml:space="preserve"> is one of the many drinking water systems in New York State that provides drinking water with a controlled, low level of fluoride for consumer dental health protection. Fluoride is added to your water by the Elmira Water Board before it is delivered to us.</w:t>
      </w:r>
      <w:r w:rsidR="00645F1D" w:rsidRPr="009F326F">
        <w:rPr>
          <w:color w:val="0000FF"/>
          <w:sz w:val="22"/>
          <w:szCs w:val="22"/>
        </w:rPr>
        <w:t xml:space="preserve">  </w:t>
      </w:r>
      <w:r w:rsidR="00645F1D" w:rsidRPr="009F326F">
        <w:rPr>
          <w:sz w:val="22"/>
          <w:szCs w:val="22"/>
        </w:rPr>
        <w:t xml:space="preserve">According to the United States Centers for Disease Control, fluoride is very effective in preventing cavities </w:t>
      </w:r>
      <w:r w:rsidR="0073559F" w:rsidRPr="009F326F">
        <w:rPr>
          <w:sz w:val="22"/>
          <w:szCs w:val="22"/>
        </w:rPr>
        <w:t>when present in drinking water at a properly controlled level.</w:t>
      </w:r>
      <w:r w:rsidR="004A6573" w:rsidRPr="009F326F">
        <w:rPr>
          <w:sz w:val="22"/>
          <w:szCs w:val="22"/>
        </w:rPr>
        <w:t xml:space="preserve"> </w:t>
      </w:r>
      <w:r w:rsidR="00645F1D" w:rsidRPr="009F326F">
        <w:rPr>
          <w:sz w:val="22"/>
          <w:szCs w:val="22"/>
        </w:rPr>
        <w:t xml:space="preserve">To ensure that the fluoride supplement in your water provides optimal dental protection, the State Department of Health requires that the Elmira Water Board monitor fluoride levels on a daily basis. </w:t>
      </w:r>
      <w:r w:rsidR="00F0209C">
        <w:rPr>
          <w:sz w:val="22"/>
          <w:szCs w:val="22"/>
        </w:rPr>
        <w:t>Results are reported in the table below.</w:t>
      </w:r>
    </w:p>
    <w:p w:rsidR="00392E9D" w:rsidRPr="009F326F" w:rsidRDefault="00392E9D" w:rsidP="00FE2454">
      <w:pPr>
        <w:spacing w:after="120"/>
        <w:rPr>
          <w:sz w:val="22"/>
          <w:szCs w:val="22"/>
        </w:rPr>
      </w:pPr>
      <w:r w:rsidRPr="009F326F">
        <w:rPr>
          <w:sz w:val="22"/>
          <w:szCs w:val="22"/>
        </w:rPr>
        <w:t xml:space="preserve">Elmira also adds phosphate and controls the alkalinity </w:t>
      </w:r>
      <w:r w:rsidR="00164B13" w:rsidRPr="009F326F">
        <w:rPr>
          <w:sz w:val="22"/>
          <w:szCs w:val="22"/>
        </w:rPr>
        <w:t xml:space="preserve">(pH) </w:t>
      </w:r>
      <w:r w:rsidRPr="009F326F">
        <w:rPr>
          <w:sz w:val="22"/>
          <w:szCs w:val="22"/>
        </w:rPr>
        <w:t>in the finished water to prevent corrosion of household plumbing.  The goal is to limit the amount of lead that can be leached from residential p</w:t>
      </w:r>
      <w:r w:rsidR="00164B13" w:rsidRPr="009F326F">
        <w:rPr>
          <w:sz w:val="22"/>
          <w:szCs w:val="22"/>
        </w:rPr>
        <w:t>iping</w:t>
      </w:r>
      <w:r w:rsidRPr="009F326F">
        <w:rPr>
          <w:sz w:val="22"/>
          <w:szCs w:val="22"/>
        </w:rPr>
        <w:t xml:space="preserve"> that contain</w:t>
      </w:r>
      <w:r w:rsidR="00164B13" w:rsidRPr="009F326F">
        <w:rPr>
          <w:sz w:val="22"/>
          <w:szCs w:val="22"/>
        </w:rPr>
        <w:t>s</w:t>
      </w:r>
      <w:r w:rsidRPr="009F326F">
        <w:rPr>
          <w:sz w:val="22"/>
          <w:szCs w:val="22"/>
        </w:rPr>
        <w:t xml:space="preserve"> soldered or brass fittings.</w:t>
      </w:r>
    </w:p>
    <w:p w:rsidR="002D3735" w:rsidRPr="009F326F" w:rsidRDefault="002D3735" w:rsidP="00FE2454">
      <w:pPr>
        <w:rPr>
          <w:sz w:val="22"/>
          <w:szCs w:val="22"/>
        </w:rPr>
      </w:pPr>
      <w:r w:rsidRPr="009F326F">
        <w:rPr>
          <w:sz w:val="22"/>
          <w:szCs w:val="22"/>
        </w:rPr>
        <w:t>Our water system serves about 6</w:t>
      </w:r>
      <w:r w:rsidR="00FE2454" w:rsidRPr="009F326F">
        <w:rPr>
          <w:sz w:val="22"/>
          <w:szCs w:val="22"/>
        </w:rPr>
        <w:t>30</w:t>
      </w:r>
      <w:r w:rsidRPr="009F326F">
        <w:rPr>
          <w:sz w:val="22"/>
          <w:szCs w:val="22"/>
        </w:rPr>
        <w:t xml:space="preserve"> people through 250 service connections. </w:t>
      </w:r>
      <w:r w:rsidR="0099320E">
        <w:rPr>
          <w:sz w:val="22"/>
          <w:szCs w:val="22"/>
        </w:rPr>
        <w:t xml:space="preserve"> </w:t>
      </w:r>
      <w:r w:rsidRPr="009F326F">
        <w:rPr>
          <w:sz w:val="22"/>
          <w:szCs w:val="22"/>
        </w:rPr>
        <w:t xml:space="preserve">During </w:t>
      </w:r>
      <w:r w:rsidR="003F1B81">
        <w:rPr>
          <w:color w:val="FF0000"/>
          <w:sz w:val="22"/>
          <w:szCs w:val="22"/>
        </w:rPr>
        <w:t>2021</w:t>
      </w:r>
      <w:r w:rsidRPr="009F326F">
        <w:rPr>
          <w:sz w:val="22"/>
          <w:szCs w:val="22"/>
        </w:rPr>
        <w:t xml:space="preserve">, </w:t>
      </w:r>
      <w:r w:rsidR="00F0209C">
        <w:rPr>
          <w:sz w:val="22"/>
          <w:szCs w:val="22"/>
        </w:rPr>
        <w:t>we</w:t>
      </w:r>
      <w:r w:rsidRPr="009F326F">
        <w:rPr>
          <w:sz w:val="22"/>
          <w:szCs w:val="22"/>
        </w:rPr>
        <w:t xml:space="preserve"> did not experience any shortage of </w:t>
      </w:r>
      <w:r w:rsidR="009D4B86">
        <w:rPr>
          <w:sz w:val="22"/>
          <w:szCs w:val="22"/>
        </w:rPr>
        <w:t>our</w:t>
      </w:r>
      <w:r w:rsidRPr="009F326F">
        <w:rPr>
          <w:sz w:val="22"/>
          <w:szCs w:val="22"/>
        </w:rPr>
        <w:t xml:space="preserve"> </w:t>
      </w:r>
      <w:r w:rsidR="00B07C34">
        <w:rPr>
          <w:sz w:val="22"/>
          <w:szCs w:val="22"/>
        </w:rPr>
        <w:t xml:space="preserve">source </w:t>
      </w:r>
      <w:r w:rsidRPr="009F326F">
        <w:rPr>
          <w:sz w:val="22"/>
          <w:szCs w:val="22"/>
        </w:rPr>
        <w:t>water.</w:t>
      </w:r>
    </w:p>
    <w:p w:rsidR="00796A2F" w:rsidRDefault="00796A2F">
      <w:pPr>
        <w:tabs>
          <w:tab w:val="left" w:pos="0"/>
        </w:tabs>
        <w:suppressAutoHyphens/>
        <w:spacing w:after="120" w:line="240" w:lineRule="atLeast"/>
        <w:rPr>
          <w:b/>
          <w:bCs/>
          <w:sz w:val="22"/>
          <w:szCs w:val="22"/>
        </w:rPr>
      </w:pPr>
    </w:p>
    <w:p w:rsidR="002D3735" w:rsidRDefault="002D3735">
      <w:pPr>
        <w:keepNext/>
        <w:keepLines/>
        <w:tabs>
          <w:tab w:val="left" w:pos="0"/>
        </w:tabs>
        <w:suppressAutoHyphens/>
        <w:spacing w:line="240" w:lineRule="atLeast"/>
      </w:pPr>
    </w:p>
    <w:p w:rsidR="002D3735" w:rsidRDefault="002D3735">
      <w:pPr>
        <w:tabs>
          <w:tab w:val="left" w:pos="0"/>
        </w:tabs>
        <w:suppressAutoHyphens/>
        <w:spacing w:after="120" w:line="240" w:lineRule="atLeast"/>
        <w:rPr>
          <w:sz w:val="24"/>
          <w:szCs w:val="24"/>
        </w:rPr>
      </w:pPr>
      <w:r>
        <w:rPr>
          <w:b/>
          <w:bCs/>
          <w:sz w:val="24"/>
          <w:szCs w:val="24"/>
        </w:rPr>
        <w:t>Are there contaminants in our drinking water?</w:t>
      </w:r>
    </w:p>
    <w:p w:rsidR="00475954" w:rsidRPr="00796A2F" w:rsidRDefault="002D3735">
      <w:pPr>
        <w:tabs>
          <w:tab w:val="left" w:pos="0"/>
        </w:tabs>
        <w:suppressAutoHyphens/>
        <w:spacing w:after="120" w:line="240" w:lineRule="atLeast"/>
        <w:rPr>
          <w:sz w:val="22"/>
          <w:szCs w:val="24"/>
        </w:rPr>
      </w:pPr>
      <w:r w:rsidRPr="00796A2F">
        <w:rPr>
          <w:sz w:val="22"/>
          <w:szCs w:val="24"/>
        </w:rPr>
        <w:t xml:space="preserve">As the State regulations require, we routinely test your drinking water for contaminants that can sometimes get into the water after we buy it from Elmira.  These contaminants include: total coliform, asbestos, lead and copper, and disinfection byproducts called Total Trihalomethanes and </w:t>
      </w:r>
      <w:proofErr w:type="spellStart"/>
      <w:r w:rsidRPr="00796A2F">
        <w:rPr>
          <w:sz w:val="22"/>
          <w:szCs w:val="24"/>
        </w:rPr>
        <w:t>Haloacetic</w:t>
      </w:r>
      <w:proofErr w:type="spellEnd"/>
      <w:r w:rsidRPr="00796A2F">
        <w:rPr>
          <w:sz w:val="22"/>
          <w:szCs w:val="24"/>
        </w:rPr>
        <w:t xml:space="preserve"> Acids.  Elmira tests the water for additional contaminants at their treatment plant, including turbidity, inorganic compounds, nitrate, nitrite, volatile organic compounds,</w:t>
      </w:r>
      <w:r w:rsidR="00C1249D">
        <w:rPr>
          <w:sz w:val="22"/>
          <w:szCs w:val="24"/>
        </w:rPr>
        <w:t xml:space="preserve"> </w:t>
      </w:r>
      <w:r w:rsidRPr="00796A2F">
        <w:rPr>
          <w:sz w:val="22"/>
          <w:szCs w:val="24"/>
        </w:rPr>
        <w:t>synthetic organic compounds</w:t>
      </w:r>
      <w:r w:rsidR="00C1249D">
        <w:rPr>
          <w:sz w:val="22"/>
          <w:szCs w:val="24"/>
        </w:rPr>
        <w:t xml:space="preserve"> and naturally occurring radioactive contaminants</w:t>
      </w:r>
      <w:r w:rsidRPr="00796A2F">
        <w:rPr>
          <w:sz w:val="22"/>
          <w:szCs w:val="24"/>
        </w:rPr>
        <w:t>.  The table</w:t>
      </w:r>
      <w:r w:rsidR="00B776CA">
        <w:rPr>
          <w:sz w:val="22"/>
          <w:szCs w:val="24"/>
        </w:rPr>
        <w:t xml:space="preserve"> below</w:t>
      </w:r>
      <w:r w:rsidRPr="00796A2F">
        <w:rPr>
          <w:sz w:val="22"/>
          <w:szCs w:val="24"/>
        </w:rPr>
        <w:t xml:space="preserve"> shows the most recent test results for compounds detected in your drinking water. </w:t>
      </w:r>
      <w:r w:rsidR="00C1249D">
        <w:rPr>
          <w:sz w:val="22"/>
          <w:szCs w:val="24"/>
        </w:rPr>
        <w:t xml:space="preserve">  </w:t>
      </w:r>
      <w:r w:rsidR="00475954" w:rsidRPr="00796A2F">
        <w:rPr>
          <w:sz w:val="22"/>
          <w:szCs w:val="24"/>
        </w:rPr>
        <w:t xml:space="preserve"> </w:t>
      </w:r>
    </w:p>
    <w:p w:rsidR="00164B13" w:rsidRPr="00796A2F" w:rsidRDefault="002D3735" w:rsidP="00796A2F">
      <w:pPr>
        <w:tabs>
          <w:tab w:val="left" w:pos="0"/>
        </w:tabs>
        <w:suppressAutoHyphens/>
        <w:spacing w:after="120" w:line="240" w:lineRule="atLeast"/>
        <w:rPr>
          <w:b/>
          <w:bCs/>
          <w:szCs w:val="22"/>
        </w:rPr>
      </w:pPr>
      <w:r w:rsidRPr="00796A2F">
        <w:rPr>
          <w:sz w:val="22"/>
          <w:szCs w:val="24"/>
        </w:rPr>
        <w:t>It should be noted that all drinking water, including bottled drinking water, may be reasonably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 or the Chemung County Health Department at 737-2019.</w:t>
      </w:r>
    </w:p>
    <w:p w:rsidR="00281331" w:rsidRDefault="00281331" w:rsidP="00F94C01">
      <w:pPr>
        <w:pStyle w:val="BodyText"/>
        <w:spacing w:after="120"/>
        <w:rPr>
          <w:b/>
          <w:sz w:val="22"/>
        </w:rPr>
      </w:pPr>
    </w:p>
    <w:p w:rsidR="00F0209C" w:rsidRDefault="00F0209C" w:rsidP="00F94C01">
      <w:pPr>
        <w:pStyle w:val="BodyText"/>
        <w:spacing w:after="120"/>
        <w:rPr>
          <w:b/>
          <w:sz w:val="22"/>
        </w:rPr>
        <w:sectPr w:rsidR="00F0209C" w:rsidSect="001F18AB">
          <w:footerReference w:type="default" r:id="rId8"/>
          <w:endnotePr>
            <w:numFmt w:val="decimal"/>
          </w:endnotePr>
          <w:pgSz w:w="12240" w:h="15840"/>
          <w:pgMar w:top="720" w:right="720" w:bottom="720" w:left="720" w:header="720" w:footer="210" w:gutter="0"/>
          <w:cols w:space="720"/>
          <w:noEndnote/>
        </w:sectPr>
      </w:pPr>
    </w:p>
    <w:p w:rsidR="009F326F" w:rsidRPr="00B07C34" w:rsidRDefault="009F326F" w:rsidP="00F94C01">
      <w:pPr>
        <w:pStyle w:val="BodyText"/>
        <w:spacing w:after="120"/>
        <w:rPr>
          <w:b/>
          <w:sz w:val="22"/>
        </w:rPr>
      </w:pPr>
      <w:r w:rsidRPr="00B07C34">
        <w:rPr>
          <w:b/>
          <w:sz w:val="22"/>
        </w:rPr>
        <w:lastRenderedPageBreak/>
        <w:t>Lead Educational Statement</w:t>
      </w:r>
    </w:p>
    <w:p w:rsidR="00DB4ED8" w:rsidRPr="00F11D00" w:rsidRDefault="009F326F" w:rsidP="009F326F">
      <w:pPr>
        <w:pStyle w:val="BodyText"/>
        <w:rPr>
          <w:color w:val="FF0000"/>
          <w:sz w:val="22"/>
        </w:rPr>
      </w:pPr>
      <w:r w:rsidRPr="009F326F">
        <w:rPr>
          <w:sz w:val="22"/>
        </w:rPr>
        <w:t xml:space="preserve">If present, elevated levels of lead can cause serious health problems, especially for pregnant women, infants, and young children. It is possible that lead levels at your home may be higher than at other homes in the community as a result of materials used in your home’s plumbing. Wellsburg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(1-800-426-4791) or at </w:t>
      </w:r>
      <w:hyperlink r:id="rId9" w:history="1">
        <w:r w:rsidR="00DB4ED8" w:rsidRPr="009A42CB">
          <w:rPr>
            <w:rStyle w:val="Hyperlink"/>
            <w:sz w:val="22"/>
          </w:rPr>
          <w:t>http://www.epa.gov/safewater/lead</w:t>
        </w:r>
      </w:hyperlink>
      <w:r w:rsidRPr="009F326F">
        <w:rPr>
          <w:sz w:val="22"/>
        </w:rPr>
        <w:t>.</w:t>
      </w:r>
      <w:r w:rsidR="00572805">
        <w:rPr>
          <w:sz w:val="22"/>
        </w:rPr>
        <w:t xml:space="preserve"> </w:t>
      </w:r>
    </w:p>
    <w:p w:rsidR="00281331" w:rsidRPr="00D92C9E" w:rsidRDefault="00281331" w:rsidP="00281331">
      <w:pPr>
        <w:tabs>
          <w:tab w:val="left" w:pos="0"/>
        </w:tabs>
        <w:suppressAutoHyphens/>
        <w:spacing w:after="120" w:line="240" w:lineRule="atLeast"/>
        <w:rPr>
          <w:b/>
          <w:bCs/>
          <w:sz w:val="24"/>
          <w:szCs w:val="24"/>
        </w:rPr>
      </w:pPr>
      <w:r w:rsidRPr="00D92C9E">
        <w:rPr>
          <w:b/>
          <w:bCs/>
          <w:sz w:val="24"/>
          <w:szCs w:val="24"/>
        </w:rPr>
        <w:t xml:space="preserve">Do </w:t>
      </w:r>
      <w:r>
        <w:rPr>
          <w:b/>
          <w:bCs/>
          <w:sz w:val="24"/>
          <w:szCs w:val="24"/>
        </w:rPr>
        <w:t>I</w:t>
      </w:r>
      <w:r w:rsidRPr="00D92C9E">
        <w:rPr>
          <w:b/>
          <w:bCs/>
          <w:sz w:val="24"/>
          <w:szCs w:val="24"/>
        </w:rPr>
        <w:t xml:space="preserve"> need </w:t>
      </w:r>
      <w:r>
        <w:rPr>
          <w:b/>
          <w:bCs/>
          <w:sz w:val="24"/>
          <w:szCs w:val="24"/>
        </w:rPr>
        <w:t>to</w:t>
      </w:r>
      <w:r w:rsidRPr="00D92C9E">
        <w:rPr>
          <w:b/>
          <w:bCs/>
          <w:sz w:val="24"/>
          <w:szCs w:val="24"/>
        </w:rPr>
        <w:t xml:space="preserve"> take special precautions? </w:t>
      </w:r>
    </w:p>
    <w:p w:rsidR="00281331" w:rsidRDefault="00281331" w:rsidP="00281331">
      <w:pPr>
        <w:pStyle w:val="BodyText"/>
      </w:pPr>
      <w:r>
        <w:t>Although our drinking water met or exceeded state and federal regulations, some people may be more vulnerable to disease causing microorganisms or pathogens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from their health care provider about their drinking water.  EPA/CDC guidelines on appropriate means to lessen the risk of infection by Cryptosporidium, Giardia and other microbial pathogens are available from the Safe Drinking Water Hotline (800-426-4791).</w:t>
      </w:r>
    </w:p>
    <w:p w:rsidR="0092086B" w:rsidRPr="00D92C9E" w:rsidRDefault="0092086B" w:rsidP="0092086B">
      <w:pPr>
        <w:keepNext/>
        <w:keepLines/>
        <w:tabs>
          <w:tab w:val="left" w:pos="0"/>
        </w:tabs>
        <w:suppressAutoHyphens/>
        <w:spacing w:before="240" w:after="120" w:line="240" w:lineRule="atLeast"/>
        <w:rPr>
          <w:b/>
          <w:bCs/>
          <w:sz w:val="24"/>
          <w:szCs w:val="24"/>
        </w:rPr>
      </w:pPr>
      <w:r w:rsidRPr="00D92C9E">
        <w:rPr>
          <w:b/>
          <w:bCs/>
          <w:sz w:val="24"/>
          <w:szCs w:val="24"/>
        </w:rPr>
        <w:t>Is our water system meeting other rules that govern operations?</w:t>
      </w:r>
    </w:p>
    <w:p w:rsidR="00EB1E9A" w:rsidRDefault="0092086B" w:rsidP="00EB1E9A">
      <w:pPr>
        <w:keepLines/>
        <w:tabs>
          <w:tab w:val="left" w:pos="0"/>
        </w:tabs>
        <w:suppressAutoHyphens/>
        <w:spacing w:line="240" w:lineRule="atLeast"/>
        <w:rPr>
          <w:sz w:val="24"/>
          <w:szCs w:val="24"/>
        </w:rPr>
      </w:pPr>
      <w:r>
        <w:rPr>
          <w:sz w:val="24"/>
          <w:szCs w:val="24"/>
        </w:rPr>
        <w:t xml:space="preserve">During </w:t>
      </w:r>
      <w:r w:rsidR="00364E27" w:rsidRPr="00364E27">
        <w:rPr>
          <w:color w:val="FF0000"/>
          <w:sz w:val="24"/>
          <w:szCs w:val="24"/>
        </w:rPr>
        <w:t>2021</w:t>
      </w:r>
      <w:r>
        <w:rPr>
          <w:sz w:val="24"/>
          <w:szCs w:val="24"/>
        </w:rPr>
        <w:t xml:space="preserve">, we were </w:t>
      </w:r>
      <w:r w:rsidR="00EB1E9A">
        <w:rPr>
          <w:sz w:val="24"/>
          <w:szCs w:val="24"/>
        </w:rPr>
        <w:t>cited by the Health Department because we forgot to take our routine</w:t>
      </w:r>
      <w:r w:rsidR="00D26006">
        <w:rPr>
          <w:sz w:val="24"/>
          <w:szCs w:val="24"/>
        </w:rPr>
        <w:t xml:space="preserve"> c</w:t>
      </w:r>
      <w:r w:rsidR="00EB1E9A">
        <w:rPr>
          <w:sz w:val="24"/>
          <w:szCs w:val="24"/>
        </w:rPr>
        <w:t xml:space="preserve">oliform </w:t>
      </w:r>
      <w:r w:rsidR="00D26006">
        <w:rPr>
          <w:sz w:val="24"/>
          <w:szCs w:val="24"/>
        </w:rPr>
        <w:t xml:space="preserve">bacteria </w:t>
      </w:r>
      <w:r w:rsidR="00EB1E9A">
        <w:rPr>
          <w:sz w:val="24"/>
          <w:szCs w:val="24"/>
        </w:rPr>
        <w:t xml:space="preserve">sample for the month of </w:t>
      </w:r>
      <w:r w:rsidR="00364E27">
        <w:rPr>
          <w:color w:val="FF0000"/>
          <w:sz w:val="24"/>
          <w:szCs w:val="24"/>
        </w:rPr>
        <w:t>July</w:t>
      </w:r>
      <w:r w:rsidR="00EB1E9A">
        <w:rPr>
          <w:sz w:val="24"/>
          <w:szCs w:val="24"/>
        </w:rPr>
        <w:t xml:space="preserve">. The violation was closed when we collected our routine sample </w:t>
      </w:r>
      <w:r w:rsidR="00D26006">
        <w:rPr>
          <w:sz w:val="24"/>
          <w:szCs w:val="24"/>
        </w:rPr>
        <w:t>in</w:t>
      </w:r>
      <w:r w:rsidR="00EB1E9A">
        <w:rPr>
          <w:sz w:val="24"/>
          <w:szCs w:val="24"/>
        </w:rPr>
        <w:t xml:space="preserve"> </w:t>
      </w:r>
      <w:r w:rsidR="00364E27" w:rsidRPr="00364E27">
        <w:rPr>
          <w:color w:val="FF0000"/>
          <w:sz w:val="24"/>
          <w:szCs w:val="24"/>
        </w:rPr>
        <w:t>August</w:t>
      </w:r>
      <w:r w:rsidR="00EB1E9A">
        <w:rPr>
          <w:sz w:val="24"/>
          <w:szCs w:val="24"/>
        </w:rPr>
        <w:t>.</w:t>
      </w:r>
      <w:r w:rsidR="00E02FEA">
        <w:rPr>
          <w:sz w:val="24"/>
          <w:szCs w:val="24"/>
        </w:rPr>
        <w:t xml:space="preserve"> </w:t>
      </w:r>
    </w:p>
    <w:p w:rsidR="00555C56" w:rsidRDefault="00555C56" w:rsidP="00EB1E9A">
      <w:pPr>
        <w:keepLines/>
        <w:tabs>
          <w:tab w:val="left" w:pos="0"/>
        </w:tabs>
        <w:suppressAutoHyphens/>
        <w:spacing w:line="240" w:lineRule="atLeast"/>
        <w:rPr>
          <w:b/>
          <w:bCs/>
          <w:sz w:val="24"/>
          <w:szCs w:val="22"/>
        </w:rPr>
      </w:pPr>
      <w:bookmarkStart w:id="0" w:name="_GoBack"/>
      <w:bookmarkEnd w:id="0"/>
    </w:p>
    <w:p w:rsidR="000477D3" w:rsidRPr="00944752" w:rsidRDefault="002D3735" w:rsidP="00567676">
      <w:pPr>
        <w:keepNext/>
        <w:keepLines/>
        <w:tabs>
          <w:tab w:val="left" w:pos="0"/>
        </w:tabs>
        <w:suppressAutoHyphens/>
        <w:spacing w:after="120" w:line="240" w:lineRule="atLeast"/>
        <w:jc w:val="center"/>
        <w:rPr>
          <w:b/>
          <w:bCs/>
          <w:sz w:val="24"/>
          <w:szCs w:val="22"/>
        </w:rPr>
      </w:pPr>
      <w:r w:rsidRPr="00944752">
        <w:rPr>
          <w:b/>
          <w:bCs/>
          <w:sz w:val="24"/>
          <w:szCs w:val="22"/>
        </w:rPr>
        <w:t xml:space="preserve">Contaminants Detected during </w:t>
      </w:r>
      <w:r w:rsidR="00187E62">
        <w:rPr>
          <w:b/>
          <w:bCs/>
          <w:sz w:val="24"/>
          <w:szCs w:val="22"/>
        </w:rPr>
        <w:t>2021</w:t>
      </w:r>
      <w:r w:rsidRPr="00944752">
        <w:rPr>
          <w:b/>
          <w:bCs/>
          <w:sz w:val="24"/>
          <w:szCs w:val="22"/>
        </w:rPr>
        <w:t xml:space="preserve"> (or most recent test)</w:t>
      </w:r>
    </w:p>
    <w:p w:rsidR="007E7107" w:rsidRPr="00796A2F" w:rsidRDefault="007E7107" w:rsidP="007E7107">
      <w:pPr>
        <w:widowControl/>
        <w:autoSpaceDE/>
        <w:autoSpaceDN/>
        <w:adjustRightInd/>
        <w:rPr>
          <w:sz w:val="22"/>
          <w:szCs w:val="24"/>
        </w:rPr>
      </w:pPr>
      <w:r w:rsidRPr="00796A2F">
        <w:rPr>
          <w:sz w:val="22"/>
          <w:szCs w:val="24"/>
        </w:rPr>
        <w:t xml:space="preserve">New York State allows us to test for some contaminants less than once per year because the concentrations of these contaminants do not change frequently. </w:t>
      </w:r>
      <w:r w:rsidR="0063519E">
        <w:rPr>
          <w:sz w:val="22"/>
          <w:szCs w:val="24"/>
        </w:rPr>
        <w:t xml:space="preserve"> </w:t>
      </w:r>
      <w:r w:rsidRPr="00796A2F">
        <w:rPr>
          <w:sz w:val="22"/>
          <w:szCs w:val="24"/>
        </w:rPr>
        <w:t xml:space="preserve">For this </w:t>
      </w:r>
      <w:r w:rsidR="00281331" w:rsidRPr="00796A2F">
        <w:rPr>
          <w:sz w:val="22"/>
          <w:szCs w:val="24"/>
        </w:rPr>
        <w:t>reason,</w:t>
      </w:r>
      <w:r w:rsidRPr="00796A2F">
        <w:rPr>
          <w:sz w:val="22"/>
          <w:szCs w:val="24"/>
        </w:rPr>
        <w:t xml:space="preserve"> some of our data, though representative, is more than </w:t>
      </w:r>
      <w:r w:rsidR="00D26006">
        <w:rPr>
          <w:sz w:val="22"/>
          <w:szCs w:val="24"/>
        </w:rPr>
        <w:t>a</w:t>
      </w:r>
      <w:r w:rsidRPr="00796A2F">
        <w:rPr>
          <w:sz w:val="22"/>
          <w:szCs w:val="24"/>
        </w:rPr>
        <w:t xml:space="preserve"> year old.</w:t>
      </w:r>
    </w:p>
    <w:p w:rsidR="00796A2F" w:rsidRDefault="00796A2F" w:rsidP="00796A2F">
      <w:pPr>
        <w:tabs>
          <w:tab w:val="left" w:pos="0"/>
        </w:tabs>
        <w:suppressAutoHyphens/>
        <w:spacing w:before="120" w:after="120" w:line="240" w:lineRule="atLeast"/>
        <w:rPr>
          <w:b/>
          <w:bCs/>
          <w:sz w:val="24"/>
          <w:szCs w:val="24"/>
        </w:rPr>
      </w:pPr>
      <w:r>
        <w:rPr>
          <w:b/>
          <w:bCs/>
          <w:sz w:val="24"/>
          <w:szCs w:val="24"/>
        </w:rPr>
        <w:t>Definitions used in the table:</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7"/>
        <w:gridCol w:w="4793"/>
      </w:tblGrid>
      <w:tr w:rsidR="00796A2F" w:rsidRPr="00283A3B" w:rsidTr="00D26006">
        <w:tc>
          <w:tcPr>
            <w:tcW w:w="6097" w:type="dxa"/>
          </w:tcPr>
          <w:p w:rsidR="00796A2F" w:rsidRPr="00281331" w:rsidRDefault="00796A2F" w:rsidP="00FD1213">
            <w:pPr>
              <w:tabs>
                <w:tab w:val="left" w:pos="0"/>
                <w:tab w:val="left" w:pos="360"/>
                <w:tab w:val="left" w:pos="720"/>
              </w:tabs>
              <w:suppressAutoHyphens/>
              <w:spacing w:after="80" w:line="240" w:lineRule="atLeast"/>
              <w:rPr>
                <w:sz w:val="22"/>
                <w:szCs w:val="22"/>
              </w:rPr>
            </w:pPr>
            <w:r w:rsidRPr="00281331">
              <w:rPr>
                <w:b/>
                <w:bCs/>
                <w:sz w:val="22"/>
                <w:szCs w:val="22"/>
              </w:rPr>
              <w:t>Maximum Contaminant Level (MCL):</w:t>
            </w:r>
            <w:r w:rsidRPr="00281331">
              <w:rPr>
                <w:sz w:val="22"/>
                <w:szCs w:val="22"/>
              </w:rPr>
              <w:t xml:space="preserve"> The highest level of a contaminant that is allowed in drinking water.  MCLs are set as close to the MCLGs as feasible.</w:t>
            </w:r>
            <w:r w:rsidR="00CC5226" w:rsidRPr="00281331">
              <w:rPr>
                <w:sz w:val="22"/>
                <w:szCs w:val="22"/>
              </w:rPr>
              <w:t xml:space="preserve"> (</w:t>
            </w:r>
            <w:r w:rsidR="00CC5226" w:rsidRPr="00281331">
              <w:rPr>
                <w:b/>
                <w:sz w:val="22"/>
                <w:szCs w:val="22"/>
              </w:rPr>
              <w:t>MRDL</w:t>
            </w:r>
            <w:r w:rsidR="00FD1213" w:rsidRPr="00281331">
              <w:rPr>
                <w:b/>
                <w:sz w:val="22"/>
                <w:szCs w:val="22"/>
              </w:rPr>
              <w:t>,</w:t>
            </w:r>
            <w:r w:rsidR="00CC5226" w:rsidRPr="00281331">
              <w:rPr>
                <w:sz w:val="22"/>
                <w:szCs w:val="22"/>
              </w:rPr>
              <w:t xml:space="preserve"> the Maximum Residual Disinfectant Level</w:t>
            </w:r>
            <w:r w:rsidR="00FD1213" w:rsidRPr="00281331">
              <w:rPr>
                <w:sz w:val="22"/>
                <w:szCs w:val="22"/>
              </w:rPr>
              <w:t>, applies to chlorine residual</w:t>
            </w:r>
            <w:r w:rsidR="00CC5226" w:rsidRPr="00281331">
              <w:rPr>
                <w:sz w:val="22"/>
                <w:szCs w:val="22"/>
              </w:rPr>
              <w:t>)</w:t>
            </w:r>
          </w:p>
        </w:tc>
        <w:tc>
          <w:tcPr>
            <w:tcW w:w="4793" w:type="dxa"/>
          </w:tcPr>
          <w:p w:rsidR="00796A2F" w:rsidRPr="00281331" w:rsidRDefault="00796A2F" w:rsidP="00283A3B">
            <w:pPr>
              <w:tabs>
                <w:tab w:val="left" w:pos="0"/>
                <w:tab w:val="left" w:pos="360"/>
                <w:tab w:val="left" w:pos="720"/>
              </w:tabs>
              <w:suppressAutoHyphens/>
              <w:spacing w:after="80" w:line="240" w:lineRule="atLeast"/>
              <w:rPr>
                <w:b/>
                <w:bCs/>
                <w:sz w:val="22"/>
                <w:szCs w:val="22"/>
              </w:rPr>
            </w:pPr>
            <w:r w:rsidRPr="00281331">
              <w:rPr>
                <w:b/>
                <w:bCs/>
                <w:sz w:val="22"/>
                <w:szCs w:val="22"/>
              </w:rPr>
              <w:t>Milligrams per liter (mg/L):</w:t>
            </w:r>
            <w:r w:rsidRPr="00281331">
              <w:rPr>
                <w:sz w:val="22"/>
                <w:szCs w:val="22"/>
              </w:rPr>
              <w:t xml:space="preserve"> Corresponds to one part of liquid in one million</w:t>
            </w:r>
            <w:r w:rsidR="00175FDF" w:rsidRPr="00281331">
              <w:rPr>
                <w:sz w:val="22"/>
                <w:szCs w:val="22"/>
              </w:rPr>
              <w:t xml:space="preserve"> </w:t>
            </w:r>
            <w:r w:rsidRPr="00281331">
              <w:rPr>
                <w:sz w:val="22"/>
                <w:szCs w:val="22"/>
              </w:rPr>
              <w:t xml:space="preserve">parts of liquid.  </w:t>
            </w:r>
          </w:p>
        </w:tc>
      </w:tr>
      <w:tr w:rsidR="00796A2F" w:rsidRPr="00283A3B" w:rsidTr="00D26006">
        <w:tc>
          <w:tcPr>
            <w:tcW w:w="6097" w:type="dxa"/>
          </w:tcPr>
          <w:p w:rsidR="00796A2F" w:rsidRPr="00281331" w:rsidRDefault="00796A2F" w:rsidP="00FD1213">
            <w:pPr>
              <w:tabs>
                <w:tab w:val="left" w:pos="0"/>
                <w:tab w:val="left" w:pos="360"/>
                <w:tab w:val="left" w:pos="720"/>
              </w:tabs>
              <w:suppressAutoHyphens/>
              <w:spacing w:after="80" w:line="240" w:lineRule="atLeast"/>
              <w:rPr>
                <w:sz w:val="22"/>
                <w:szCs w:val="22"/>
              </w:rPr>
            </w:pPr>
            <w:r w:rsidRPr="00281331">
              <w:rPr>
                <w:b/>
                <w:bCs/>
                <w:sz w:val="22"/>
                <w:szCs w:val="22"/>
              </w:rPr>
              <w:t>Maximum Contaminant Level Goal (MCLG):</w:t>
            </w:r>
            <w:r w:rsidRPr="00281331">
              <w:rPr>
                <w:sz w:val="22"/>
                <w:szCs w:val="22"/>
              </w:rPr>
              <w:t xml:space="preserve"> The level of a contaminant in drinking water below which there is no known or expected risk to health.  MCLGs allow for a margin of safety.</w:t>
            </w:r>
            <w:r w:rsidR="00CC5226" w:rsidRPr="00281331">
              <w:rPr>
                <w:sz w:val="22"/>
                <w:szCs w:val="22"/>
              </w:rPr>
              <w:t xml:space="preserve"> (</w:t>
            </w:r>
            <w:r w:rsidR="00CC5226" w:rsidRPr="00281331">
              <w:rPr>
                <w:b/>
                <w:sz w:val="22"/>
                <w:szCs w:val="22"/>
              </w:rPr>
              <w:t>MRDL</w:t>
            </w:r>
            <w:r w:rsidR="00FD1213" w:rsidRPr="00281331">
              <w:rPr>
                <w:b/>
                <w:sz w:val="22"/>
                <w:szCs w:val="22"/>
              </w:rPr>
              <w:t>G means</w:t>
            </w:r>
            <w:r w:rsidR="00CC5226" w:rsidRPr="00281331">
              <w:rPr>
                <w:sz w:val="22"/>
                <w:szCs w:val="22"/>
              </w:rPr>
              <w:t xml:space="preserve"> Maximum Residual Disinfectant Level</w:t>
            </w:r>
            <w:r w:rsidR="00FD1213" w:rsidRPr="00281331">
              <w:rPr>
                <w:sz w:val="22"/>
                <w:szCs w:val="22"/>
              </w:rPr>
              <w:t xml:space="preserve"> Goal</w:t>
            </w:r>
            <w:r w:rsidR="00CC5226" w:rsidRPr="00281331">
              <w:rPr>
                <w:sz w:val="22"/>
                <w:szCs w:val="22"/>
              </w:rPr>
              <w:t>)</w:t>
            </w:r>
          </w:p>
        </w:tc>
        <w:tc>
          <w:tcPr>
            <w:tcW w:w="4793" w:type="dxa"/>
          </w:tcPr>
          <w:p w:rsidR="00796A2F" w:rsidRPr="00281331" w:rsidRDefault="00796A2F" w:rsidP="00283A3B">
            <w:pPr>
              <w:tabs>
                <w:tab w:val="left" w:pos="0"/>
                <w:tab w:val="left" w:pos="36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spacing w:after="80" w:line="234" w:lineRule="atLeast"/>
              <w:rPr>
                <w:b/>
                <w:bCs/>
                <w:sz w:val="22"/>
                <w:szCs w:val="22"/>
              </w:rPr>
            </w:pPr>
            <w:r w:rsidRPr="00281331">
              <w:rPr>
                <w:b/>
                <w:bCs/>
                <w:sz w:val="22"/>
                <w:szCs w:val="22"/>
              </w:rPr>
              <w:t>Micrograms per liter (ug/l):</w:t>
            </w:r>
            <w:r w:rsidRPr="00281331">
              <w:rPr>
                <w:sz w:val="22"/>
                <w:szCs w:val="22"/>
              </w:rPr>
              <w:t xml:space="preserve"> Corresponds to one part of liquid in one billion parts of liquid.</w:t>
            </w:r>
          </w:p>
        </w:tc>
      </w:tr>
      <w:tr w:rsidR="001F18AB" w:rsidRPr="00283A3B" w:rsidTr="00D26006">
        <w:tc>
          <w:tcPr>
            <w:tcW w:w="6097" w:type="dxa"/>
          </w:tcPr>
          <w:p w:rsidR="001F18AB" w:rsidRPr="00281331" w:rsidRDefault="001F18AB" w:rsidP="00283A3B">
            <w:pPr>
              <w:tabs>
                <w:tab w:val="left" w:pos="0"/>
                <w:tab w:val="left" w:pos="36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spacing w:after="80" w:line="234" w:lineRule="atLeast"/>
              <w:rPr>
                <w:b/>
                <w:bCs/>
                <w:sz w:val="22"/>
                <w:szCs w:val="22"/>
              </w:rPr>
            </w:pPr>
            <w:r w:rsidRPr="001F18AB">
              <w:rPr>
                <w:b/>
                <w:bCs/>
                <w:sz w:val="22"/>
                <w:szCs w:val="24"/>
              </w:rPr>
              <w:t xml:space="preserve">Maximum Residual Disinfectant Level (MRDL): </w:t>
            </w:r>
            <w:r w:rsidRPr="001F18AB">
              <w:rPr>
                <w:bCs/>
                <w:sz w:val="22"/>
                <w:szCs w:val="24"/>
              </w:rPr>
              <w:t>The highest level of a disinfectant allowed in drinking water. There is convincing evidence that addition of a disinfectant is necessary for control of microbial contaminants.</w:t>
            </w:r>
          </w:p>
        </w:tc>
        <w:tc>
          <w:tcPr>
            <w:tcW w:w="4793" w:type="dxa"/>
          </w:tcPr>
          <w:p w:rsidR="001F18AB" w:rsidRPr="00281331" w:rsidRDefault="001F18AB" w:rsidP="00283A3B">
            <w:pPr>
              <w:tabs>
                <w:tab w:val="left" w:pos="0"/>
                <w:tab w:val="left" w:pos="360"/>
                <w:tab w:val="left" w:pos="720"/>
              </w:tabs>
              <w:suppressAutoHyphens/>
              <w:spacing w:after="80" w:line="240" w:lineRule="atLeast"/>
              <w:rPr>
                <w:b/>
                <w:bCs/>
                <w:sz w:val="22"/>
                <w:szCs w:val="22"/>
              </w:rPr>
            </w:pPr>
            <w:r w:rsidRPr="001F18AB">
              <w:rPr>
                <w:b/>
                <w:bCs/>
                <w:sz w:val="22"/>
                <w:szCs w:val="24"/>
              </w:rPr>
              <w:t xml:space="preserve">Maximum Residual Disinfectant Level Goal (MRDLG): </w:t>
            </w:r>
            <w:r w:rsidRPr="001F18AB">
              <w:rPr>
                <w:bCs/>
                <w:sz w:val="22"/>
                <w:szCs w:val="24"/>
              </w:rPr>
              <w:t>The level of a drinking water disinfectant below which there is no known or expected risk to health. MRDLGs do not reflect the benefits of the use of disinfectants to control microbial contamination.</w:t>
            </w:r>
          </w:p>
        </w:tc>
      </w:tr>
      <w:tr w:rsidR="00796A2F" w:rsidRPr="00283A3B" w:rsidTr="00D26006">
        <w:tc>
          <w:tcPr>
            <w:tcW w:w="6097" w:type="dxa"/>
          </w:tcPr>
          <w:p w:rsidR="00796A2F" w:rsidRPr="00281331" w:rsidRDefault="00796A2F" w:rsidP="00283A3B">
            <w:pPr>
              <w:tabs>
                <w:tab w:val="left" w:pos="0"/>
                <w:tab w:val="left" w:pos="36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spacing w:after="80" w:line="234" w:lineRule="atLeast"/>
              <w:rPr>
                <w:sz w:val="22"/>
                <w:szCs w:val="22"/>
              </w:rPr>
            </w:pPr>
            <w:r w:rsidRPr="00281331">
              <w:rPr>
                <w:b/>
                <w:bCs/>
                <w:sz w:val="22"/>
                <w:szCs w:val="22"/>
              </w:rPr>
              <w:t>Action Level (AL):</w:t>
            </w:r>
            <w:r w:rsidRPr="00281331">
              <w:rPr>
                <w:sz w:val="22"/>
                <w:szCs w:val="22"/>
              </w:rPr>
              <w:t xml:space="preserve"> The concentration of a contaminant that, if exceeded, triggers treatment or other requirements that a water system must follow.</w:t>
            </w:r>
          </w:p>
        </w:tc>
        <w:tc>
          <w:tcPr>
            <w:tcW w:w="4793" w:type="dxa"/>
          </w:tcPr>
          <w:p w:rsidR="00796A2F" w:rsidRPr="00281331" w:rsidRDefault="003412C1" w:rsidP="00283A3B">
            <w:pPr>
              <w:tabs>
                <w:tab w:val="left" w:pos="0"/>
                <w:tab w:val="left" w:pos="360"/>
                <w:tab w:val="left" w:pos="720"/>
              </w:tabs>
              <w:suppressAutoHyphens/>
              <w:spacing w:after="80" w:line="240" w:lineRule="atLeast"/>
              <w:rPr>
                <w:b/>
                <w:bCs/>
                <w:sz w:val="22"/>
                <w:szCs w:val="22"/>
              </w:rPr>
            </w:pPr>
            <w:r w:rsidRPr="00281331">
              <w:rPr>
                <w:b/>
                <w:bCs/>
                <w:sz w:val="22"/>
                <w:szCs w:val="22"/>
              </w:rPr>
              <w:t xml:space="preserve">Nephelometric Turbidity Units (NTU): </w:t>
            </w:r>
            <w:r w:rsidRPr="00281331">
              <w:rPr>
                <w:sz w:val="22"/>
                <w:szCs w:val="22"/>
              </w:rPr>
              <w:t xml:space="preserve">A measure of </w:t>
            </w:r>
            <w:r w:rsidR="000A0A8D" w:rsidRPr="00281331">
              <w:rPr>
                <w:sz w:val="22"/>
                <w:szCs w:val="22"/>
              </w:rPr>
              <w:t xml:space="preserve">water </w:t>
            </w:r>
            <w:r w:rsidRPr="00281331">
              <w:rPr>
                <w:sz w:val="22"/>
                <w:szCs w:val="22"/>
              </w:rPr>
              <w:t>cloudiness</w:t>
            </w:r>
            <w:r w:rsidR="000A0A8D" w:rsidRPr="00281331">
              <w:rPr>
                <w:sz w:val="22"/>
                <w:szCs w:val="22"/>
              </w:rPr>
              <w:t>.</w:t>
            </w:r>
          </w:p>
        </w:tc>
      </w:tr>
      <w:tr w:rsidR="003412C1" w:rsidRPr="00283A3B" w:rsidTr="00D26006">
        <w:tc>
          <w:tcPr>
            <w:tcW w:w="6097" w:type="dxa"/>
          </w:tcPr>
          <w:p w:rsidR="003412C1" w:rsidRPr="00281331" w:rsidRDefault="003412C1" w:rsidP="00283A3B">
            <w:pPr>
              <w:tabs>
                <w:tab w:val="left" w:pos="0"/>
                <w:tab w:val="left" w:pos="360"/>
                <w:tab w:val="left" w:pos="720"/>
              </w:tabs>
              <w:suppressAutoHyphens/>
              <w:spacing w:after="80" w:line="240" w:lineRule="atLeast"/>
              <w:ind w:left="360" w:hanging="360"/>
              <w:rPr>
                <w:b/>
                <w:bCs/>
                <w:sz w:val="22"/>
                <w:szCs w:val="22"/>
              </w:rPr>
            </w:pPr>
            <w:r w:rsidRPr="00281331">
              <w:rPr>
                <w:b/>
                <w:bCs/>
                <w:sz w:val="22"/>
                <w:szCs w:val="22"/>
              </w:rPr>
              <w:t>Picocuries per liter (</w:t>
            </w:r>
            <w:proofErr w:type="spellStart"/>
            <w:r w:rsidRPr="00281331">
              <w:rPr>
                <w:b/>
                <w:bCs/>
                <w:sz w:val="22"/>
                <w:szCs w:val="22"/>
              </w:rPr>
              <w:t>pCi</w:t>
            </w:r>
            <w:proofErr w:type="spellEnd"/>
            <w:r w:rsidRPr="00281331">
              <w:rPr>
                <w:b/>
                <w:bCs/>
                <w:sz w:val="22"/>
                <w:szCs w:val="22"/>
              </w:rPr>
              <w:t>/L):</w:t>
            </w:r>
            <w:r w:rsidRPr="00281331">
              <w:rPr>
                <w:sz w:val="22"/>
                <w:szCs w:val="22"/>
              </w:rPr>
              <w:t xml:space="preserve"> A measure of radioactivity in water.</w:t>
            </w:r>
          </w:p>
        </w:tc>
        <w:tc>
          <w:tcPr>
            <w:tcW w:w="4793" w:type="dxa"/>
          </w:tcPr>
          <w:p w:rsidR="003412C1" w:rsidRPr="00281331" w:rsidRDefault="00DB4ED8" w:rsidP="00283A3B">
            <w:pPr>
              <w:tabs>
                <w:tab w:val="left" w:pos="0"/>
                <w:tab w:val="left" w:pos="36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spacing w:after="80" w:line="234" w:lineRule="atLeast"/>
              <w:rPr>
                <w:b/>
                <w:bCs/>
                <w:sz w:val="22"/>
                <w:szCs w:val="22"/>
              </w:rPr>
            </w:pPr>
            <w:r w:rsidRPr="00281331">
              <w:rPr>
                <w:b/>
                <w:bCs/>
                <w:sz w:val="22"/>
                <w:szCs w:val="22"/>
              </w:rPr>
              <w:t>Not Applicable</w:t>
            </w:r>
            <w:r w:rsidRPr="00281331">
              <w:rPr>
                <w:sz w:val="22"/>
                <w:szCs w:val="22"/>
              </w:rPr>
              <w:t xml:space="preserve"> (</w:t>
            </w:r>
            <w:r w:rsidRPr="00281331">
              <w:rPr>
                <w:b/>
                <w:bCs/>
                <w:sz w:val="22"/>
                <w:szCs w:val="22"/>
              </w:rPr>
              <w:t>N/A</w:t>
            </w:r>
            <w:r w:rsidRPr="00281331">
              <w:rPr>
                <w:sz w:val="22"/>
                <w:szCs w:val="22"/>
              </w:rPr>
              <w:t>)</w:t>
            </w:r>
          </w:p>
        </w:tc>
      </w:tr>
      <w:tr w:rsidR="00796A2F" w:rsidRPr="00283A3B" w:rsidTr="00D26006">
        <w:trPr>
          <w:trHeight w:val="332"/>
        </w:trPr>
        <w:tc>
          <w:tcPr>
            <w:tcW w:w="6097" w:type="dxa"/>
          </w:tcPr>
          <w:p w:rsidR="00796A2F" w:rsidRPr="00281331" w:rsidRDefault="003412C1" w:rsidP="00283A3B">
            <w:pPr>
              <w:tabs>
                <w:tab w:val="left" w:pos="0"/>
                <w:tab w:val="left" w:pos="360"/>
                <w:tab w:val="left" w:pos="720"/>
              </w:tabs>
              <w:suppressAutoHyphens/>
              <w:spacing w:after="80" w:line="240" w:lineRule="atLeast"/>
              <w:ind w:left="360" w:hanging="360"/>
              <w:rPr>
                <w:sz w:val="22"/>
                <w:szCs w:val="22"/>
              </w:rPr>
            </w:pPr>
            <w:r w:rsidRPr="00281331">
              <w:rPr>
                <w:b/>
                <w:bCs/>
                <w:sz w:val="22"/>
                <w:szCs w:val="22"/>
              </w:rPr>
              <w:t xml:space="preserve">Treatment Technique (TT): </w:t>
            </w:r>
            <w:r w:rsidRPr="00281331">
              <w:rPr>
                <w:sz w:val="22"/>
                <w:szCs w:val="22"/>
              </w:rPr>
              <w:t>A required process intended to reduce the level of</w:t>
            </w:r>
            <w:r w:rsidR="00281331">
              <w:rPr>
                <w:sz w:val="22"/>
                <w:szCs w:val="22"/>
              </w:rPr>
              <w:t xml:space="preserve"> </w:t>
            </w:r>
            <w:r w:rsidRPr="00281331">
              <w:rPr>
                <w:sz w:val="22"/>
                <w:szCs w:val="22"/>
              </w:rPr>
              <w:t>a contaminant in drinking water.</w:t>
            </w:r>
          </w:p>
        </w:tc>
        <w:tc>
          <w:tcPr>
            <w:tcW w:w="4793" w:type="dxa"/>
          </w:tcPr>
          <w:p w:rsidR="00796A2F" w:rsidRPr="00281331" w:rsidRDefault="00DB4ED8" w:rsidP="000A0A8D">
            <w:pPr>
              <w:tabs>
                <w:tab w:val="left" w:pos="0"/>
                <w:tab w:val="left" w:pos="36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spacing w:after="80" w:line="234" w:lineRule="atLeast"/>
              <w:jc w:val="both"/>
              <w:rPr>
                <w:b/>
                <w:bCs/>
                <w:sz w:val="22"/>
                <w:szCs w:val="22"/>
              </w:rPr>
            </w:pPr>
            <w:r w:rsidRPr="00281331">
              <w:rPr>
                <w:b/>
                <w:bCs/>
                <w:sz w:val="22"/>
                <w:szCs w:val="22"/>
              </w:rPr>
              <w:t xml:space="preserve">Not Detected (ND): </w:t>
            </w:r>
            <w:r w:rsidR="000A0A8D" w:rsidRPr="00281331">
              <w:rPr>
                <w:sz w:val="22"/>
                <w:szCs w:val="22"/>
              </w:rPr>
              <w:t>The contaminant was not found</w:t>
            </w:r>
            <w:r w:rsidRPr="00281331">
              <w:rPr>
                <w:sz w:val="22"/>
                <w:szCs w:val="22"/>
              </w:rPr>
              <w:t xml:space="preserve"> </w:t>
            </w:r>
            <w:r w:rsidR="000A0A8D" w:rsidRPr="00281331">
              <w:rPr>
                <w:sz w:val="22"/>
                <w:szCs w:val="22"/>
              </w:rPr>
              <w:t>by</w:t>
            </w:r>
            <w:r w:rsidRPr="00281331">
              <w:rPr>
                <w:sz w:val="22"/>
                <w:szCs w:val="22"/>
              </w:rPr>
              <w:t xml:space="preserve"> the laboratory sample.</w:t>
            </w:r>
          </w:p>
        </w:tc>
      </w:tr>
    </w:tbl>
    <w:p w:rsidR="00796A2F" w:rsidRDefault="00796A2F">
      <w:pPr>
        <w:keepNext/>
        <w:keepLines/>
        <w:tabs>
          <w:tab w:val="left" w:pos="0"/>
        </w:tabs>
        <w:suppressAutoHyphens/>
        <w:spacing w:after="120" w:line="240" w:lineRule="atLeast"/>
        <w:rPr>
          <w:b/>
          <w:bCs/>
          <w:sz w:val="24"/>
          <w:szCs w:val="24"/>
        </w:rPr>
        <w:sectPr w:rsidR="00796A2F" w:rsidSect="001F18AB">
          <w:endnotePr>
            <w:numFmt w:val="decimal"/>
          </w:endnotePr>
          <w:pgSz w:w="12240" w:h="15840"/>
          <w:pgMar w:top="720" w:right="720" w:bottom="720" w:left="720" w:header="720" w:footer="210" w:gutter="0"/>
          <w:cols w:space="720"/>
          <w:noEndnote/>
        </w:sectPr>
      </w:pPr>
    </w:p>
    <w:tbl>
      <w:tblPr>
        <w:tblpPr w:leftFromText="180" w:rightFromText="180" w:vertAnchor="page" w:horzAnchor="margin" w:tblpX="-95" w:tblpY="1277"/>
        <w:tblW w:w="14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3"/>
        <w:gridCol w:w="7"/>
        <w:gridCol w:w="990"/>
        <w:gridCol w:w="1260"/>
        <w:gridCol w:w="1116"/>
        <w:gridCol w:w="1123"/>
        <w:gridCol w:w="11"/>
        <w:gridCol w:w="124"/>
        <w:gridCol w:w="1136"/>
        <w:gridCol w:w="1170"/>
        <w:gridCol w:w="1350"/>
        <w:gridCol w:w="3240"/>
      </w:tblGrid>
      <w:tr w:rsidR="00F9587A" w:rsidRPr="00F9587A" w:rsidTr="00F11D00">
        <w:trPr>
          <w:cantSplit/>
          <w:trHeight w:val="675"/>
          <w:tblHeader/>
        </w:trPr>
        <w:tc>
          <w:tcPr>
            <w:tcW w:w="2720" w:type="dxa"/>
            <w:gridSpan w:val="2"/>
            <w:shd w:val="clear" w:color="auto" w:fill="auto"/>
            <w:vAlign w:val="center"/>
            <w:hideMark/>
          </w:tcPr>
          <w:p w:rsidR="00F9587A" w:rsidRPr="00F9587A" w:rsidRDefault="00F9587A" w:rsidP="00F11D00">
            <w:pPr>
              <w:widowControl/>
              <w:autoSpaceDE/>
              <w:autoSpaceDN/>
              <w:adjustRightInd/>
              <w:rPr>
                <w:rFonts w:ascii="Arial" w:hAnsi="Arial" w:cs="Arial"/>
                <w:b/>
                <w:bCs/>
                <w:szCs w:val="18"/>
              </w:rPr>
            </w:pPr>
            <w:bookmarkStart w:id="1" w:name="RANGE!A1:I37"/>
            <w:r w:rsidRPr="00F9587A">
              <w:rPr>
                <w:rFonts w:ascii="Arial" w:hAnsi="Arial" w:cs="Arial"/>
                <w:b/>
                <w:bCs/>
                <w:szCs w:val="18"/>
              </w:rPr>
              <w:lastRenderedPageBreak/>
              <w:t>Contaminant</w:t>
            </w:r>
            <w:bookmarkEnd w:id="1"/>
            <w:r w:rsidR="00B776CA">
              <w:rPr>
                <w:rFonts w:ascii="Arial" w:hAnsi="Arial" w:cs="Arial"/>
                <w:b/>
                <w:bCs/>
                <w:szCs w:val="18"/>
              </w:rPr>
              <w:t>s detected by Elmira Water Board</w:t>
            </w:r>
          </w:p>
        </w:tc>
        <w:tc>
          <w:tcPr>
            <w:tcW w:w="990" w:type="dxa"/>
            <w:shd w:val="clear" w:color="auto" w:fill="auto"/>
            <w:vAlign w:val="center"/>
            <w:hideMark/>
          </w:tcPr>
          <w:p w:rsidR="00F9587A" w:rsidRPr="00F9587A" w:rsidRDefault="00F9587A" w:rsidP="00F11D00">
            <w:pPr>
              <w:widowControl/>
              <w:autoSpaceDE/>
              <w:autoSpaceDN/>
              <w:adjustRightInd/>
              <w:jc w:val="center"/>
              <w:rPr>
                <w:rFonts w:ascii="Arial" w:hAnsi="Arial" w:cs="Arial"/>
                <w:b/>
                <w:bCs/>
                <w:szCs w:val="18"/>
              </w:rPr>
            </w:pPr>
            <w:r w:rsidRPr="00F9587A">
              <w:rPr>
                <w:rFonts w:ascii="Arial" w:hAnsi="Arial" w:cs="Arial"/>
                <w:b/>
                <w:bCs/>
                <w:sz w:val="18"/>
                <w:szCs w:val="18"/>
              </w:rPr>
              <w:t xml:space="preserve">Violation </w:t>
            </w:r>
            <w:r w:rsidRPr="00F9587A">
              <w:rPr>
                <w:rFonts w:ascii="Arial" w:hAnsi="Arial" w:cs="Arial"/>
                <w:b/>
                <w:bCs/>
                <w:szCs w:val="18"/>
              </w:rPr>
              <w:t>Yes/No</w:t>
            </w:r>
          </w:p>
        </w:tc>
        <w:tc>
          <w:tcPr>
            <w:tcW w:w="1260" w:type="dxa"/>
            <w:shd w:val="clear" w:color="auto" w:fill="auto"/>
            <w:vAlign w:val="center"/>
            <w:hideMark/>
          </w:tcPr>
          <w:p w:rsidR="00F9587A" w:rsidRPr="00F9587A" w:rsidRDefault="00F9587A" w:rsidP="00F11D00">
            <w:pPr>
              <w:widowControl/>
              <w:autoSpaceDE/>
              <w:autoSpaceDN/>
              <w:adjustRightInd/>
              <w:jc w:val="center"/>
              <w:rPr>
                <w:rFonts w:ascii="Arial" w:hAnsi="Arial" w:cs="Arial"/>
                <w:b/>
                <w:bCs/>
                <w:szCs w:val="18"/>
              </w:rPr>
            </w:pPr>
            <w:r w:rsidRPr="00F9587A">
              <w:rPr>
                <w:rFonts w:ascii="Arial" w:hAnsi="Arial" w:cs="Arial"/>
                <w:b/>
                <w:bCs/>
                <w:szCs w:val="18"/>
              </w:rPr>
              <w:t>Date of Sample</w:t>
            </w:r>
          </w:p>
        </w:tc>
        <w:tc>
          <w:tcPr>
            <w:tcW w:w="2239" w:type="dxa"/>
            <w:gridSpan w:val="2"/>
            <w:shd w:val="clear" w:color="auto" w:fill="auto"/>
            <w:vAlign w:val="center"/>
            <w:hideMark/>
          </w:tcPr>
          <w:p w:rsidR="00F9587A" w:rsidRPr="00F9587A" w:rsidRDefault="00F9587A" w:rsidP="00F11D00">
            <w:pPr>
              <w:widowControl/>
              <w:autoSpaceDE/>
              <w:autoSpaceDN/>
              <w:adjustRightInd/>
              <w:jc w:val="center"/>
              <w:rPr>
                <w:rFonts w:ascii="Arial" w:hAnsi="Arial" w:cs="Arial"/>
                <w:b/>
                <w:bCs/>
                <w:szCs w:val="18"/>
              </w:rPr>
            </w:pPr>
            <w:r w:rsidRPr="00F9587A">
              <w:rPr>
                <w:rFonts w:ascii="Arial" w:hAnsi="Arial" w:cs="Arial"/>
                <w:b/>
                <w:bCs/>
                <w:szCs w:val="18"/>
              </w:rPr>
              <w:t>Level Detected</w:t>
            </w:r>
          </w:p>
        </w:tc>
        <w:tc>
          <w:tcPr>
            <w:tcW w:w="1271" w:type="dxa"/>
            <w:gridSpan w:val="3"/>
            <w:shd w:val="clear" w:color="auto" w:fill="auto"/>
            <w:vAlign w:val="center"/>
            <w:hideMark/>
          </w:tcPr>
          <w:p w:rsidR="00F9587A" w:rsidRPr="00F9587A" w:rsidRDefault="00F9587A" w:rsidP="00F11D00">
            <w:pPr>
              <w:widowControl/>
              <w:autoSpaceDE/>
              <w:autoSpaceDN/>
              <w:adjustRightInd/>
              <w:jc w:val="center"/>
              <w:rPr>
                <w:rFonts w:ascii="Arial" w:hAnsi="Arial" w:cs="Arial"/>
                <w:b/>
                <w:bCs/>
                <w:szCs w:val="18"/>
              </w:rPr>
            </w:pPr>
            <w:r w:rsidRPr="00F9587A">
              <w:rPr>
                <w:rFonts w:ascii="Arial" w:hAnsi="Arial" w:cs="Arial"/>
                <w:b/>
                <w:bCs/>
                <w:szCs w:val="18"/>
              </w:rPr>
              <w:t>Units of Measure</w:t>
            </w:r>
          </w:p>
        </w:tc>
        <w:tc>
          <w:tcPr>
            <w:tcW w:w="1170" w:type="dxa"/>
            <w:shd w:val="clear" w:color="auto" w:fill="auto"/>
            <w:vAlign w:val="center"/>
            <w:hideMark/>
          </w:tcPr>
          <w:p w:rsidR="00F9587A" w:rsidRPr="00F9587A" w:rsidRDefault="00F9587A" w:rsidP="00F11D00">
            <w:pPr>
              <w:widowControl/>
              <w:autoSpaceDE/>
              <w:autoSpaceDN/>
              <w:adjustRightInd/>
              <w:jc w:val="center"/>
              <w:rPr>
                <w:rFonts w:ascii="Arial" w:hAnsi="Arial" w:cs="Arial"/>
                <w:b/>
                <w:bCs/>
                <w:szCs w:val="18"/>
              </w:rPr>
            </w:pPr>
            <w:r w:rsidRPr="00F9587A">
              <w:rPr>
                <w:rFonts w:ascii="Arial" w:hAnsi="Arial" w:cs="Arial"/>
                <w:b/>
                <w:bCs/>
                <w:szCs w:val="18"/>
              </w:rPr>
              <w:t>MCLG</w:t>
            </w:r>
          </w:p>
        </w:tc>
        <w:tc>
          <w:tcPr>
            <w:tcW w:w="1350" w:type="dxa"/>
            <w:shd w:val="clear" w:color="auto" w:fill="auto"/>
            <w:vAlign w:val="center"/>
            <w:hideMark/>
          </w:tcPr>
          <w:p w:rsidR="00F9587A" w:rsidRPr="00F9587A" w:rsidRDefault="00F9587A" w:rsidP="00F11D00">
            <w:pPr>
              <w:widowControl/>
              <w:autoSpaceDE/>
              <w:autoSpaceDN/>
              <w:adjustRightInd/>
              <w:jc w:val="center"/>
              <w:rPr>
                <w:rFonts w:ascii="Arial" w:hAnsi="Arial" w:cs="Arial"/>
                <w:b/>
                <w:bCs/>
                <w:szCs w:val="18"/>
              </w:rPr>
            </w:pPr>
            <w:r w:rsidRPr="00F9587A">
              <w:rPr>
                <w:rFonts w:ascii="Arial" w:hAnsi="Arial" w:cs="Arial"/>
                <w:b/>
                <w:bCs/>
                <w:sz w:val="18"/>
                <w:szCs w:val="18"/>
              </w:rPr>
              <w:t xml:space="preserve">Regulatory Limit </w:t>
            </w:r>
            <w:r w:rsidRPr="00F9587A">
              <w:rPr>
                <w:rFonts w:ascii="Arial" w:hAnsi="Arial" w:cs="Arial"/>
                <w:b/>
                <w:bCs/>
                <w:szCs w:val="18"/>
              </w:rPr>
              <w:t>(MCL)</w:t>
            </w:r>
          </w:p>
        </w:tc>
        <w:tc>
          <w:tcPr>
            <w:tcW w:w="3240" w:type="dxa"/>
            <w:shd w:val="clear" w:color="auto" w:fill="auto"/>
            <w:vAlign w:val="center"/>
            <w:hideMark/>
          </w:tcPr>
          <w:p w:rsidR="00F9587A" w:rsidRPr="00F9587A" w:rsidRDefault="00F9587A" w:rsidP="00F11D00">
            <w:pPr>
              <w:widowControl/>
              <w:autoSpaceDE/>
              <w:autoSpaceDN/>
              <w:adjustRightInd/>
              <w:jc w:val="center"/>
              <w:rPr>
                <w:rFonts w:ascii="Arial" w:hAnsi="Arial" w:cs="Arial"/>
                <w:b/>
                <w:bCs/>
                <w:szCs w:val="18"/>
              </w:rPr>
            </w:pPr>
            <w:r w:rsidRPr="00F9587A">
              <w:rPr>
                <w:rFonts w:ascii="Arial" w:hAnsi="Arial" w:cs="Arial"/>
                <w:b/>
                <w:bCs/>
                <w:szCs w:val="18"/>
              </w:rPr>
              <w:t>Likely Source of Contamination</w:t>
            </w:r>
          </w:p>
        </w:tc>
      </w:tr>
      <w:tr w:rsidR="00BA73B9" w:rsidRPr="00F9587A" w:rsidTr="00F11D00">
        <w:trPr>
          <w:trHeight w:val="296"/>
        </w:trPr>
        <w:tc>
          <w:tcPr>
            <w:tcW w:w="2720" w:type="dxa"/>
            <w:gridSpan w:val="2"/>
            <w:shd w:val="clear" w:color="auto" w:fill="auto"/>
            <w:noWrap/>
            <w:vAlign w:val="center"/>
          </w:tcPr>
          <w:p w:rsidR="00BA73B9" w:rsidRPr="00572805" w:rsidRDefault="00BA73B9" w:rsidP="00F11D00">
            <w:pPr>
              <w:widowControl/>
              <w:autoSpaceDE/>
              <w:autoSpaceDN/>
              <w:adjustRightInd/>
              <w:rPr>
                <w:rFonts w:ascii="Arial" w:hAnsi="Arial" w:cs="Arial"/>
                <w:b/>
                <w:bCs/>
              </w:rPr>
            </w:pPr>
            <w:r w:rsidRPr="00572805">
              <w:rPr>
                <w:rFonts w:ascii="Arial" w:hAnsi="Arial" w:cs="Arial"/>
                <w:b/>
                <w:bCs/>
              </w:rPr>
              <w:t>Barium</w:t>
            </w:r>
          </w:p>
        </w:tc>
        <w:tc>
          <w:tcPr>
            <w:tcW w:w="990" w:type="dxa"/>
            <w:shd w:val="clear" w:color="auto" w:fill="auto"/>
            <w:noWrap/>
            <w:vAlign w:val="center"/>
          </w:tcPr>
          <w:p w:rsidR="00BA73B9" w:rsidRPr="00572805" w:rsidRDefault="00BA73B9" w:rsidP="00F11D00">
            <w:pPr>
              <w:jc w:val="center"/>
              <w:rPr>
                <w:rFonts w:ascii="Arial" w:hAnsi="Arial" w:cs="Arial"/>
              </w:rPr>
            </w:pPr>
            <w:r w:rsidRPr="00572805">
              <w:rPr>
                <w:rFonts w:ascii="Arial" w:hAnsi="Arial" w:cs="Arial"/>
              </w:rPr>
              <w:t>no</w:t>
            </w:r>
          </w:p>
        </w:tc>
        <w:tc>
          <w:tcPr>
            <w:tcW w:w="1260" w:type="dxa"/>
            <w:shd w:val="clear" w:color="auto" w:fill="auto"/>
            <w:noWrap/>
            <w:vAlign w:val="center"/>
          </w:tcPr>
          <w:p w:rsidR="00BA73B9" w:rsidRPr="00F11D00" w:rsidRDefault="00F11D00" w:rsidP="00F11D00">
            <w:pPr>
              <w:jc w:val="center"/>
              <w:rPr>
                <w:rFonts w:ascii="Arial" w:hAnsi="Arial" w:cs="Arial"/>
                <w:bCs/>
                <w:color w:val="FF0000"/>
              </w:rPr>
            </w:pPr>
            <w:r>
              <w:rPr>
                <w:rFonts w:ascii="Arial" w:hAnsi="Arial" w:cs="Arial"/>
                <w:bCs/>
                <w:color w:val="FF0000"/>
              </w:rPr>
              <w:t>4/21/2021</w:t>
            </w:r>
          </w:p>
        </w:tc>
        <w:tc>
          <w:tcPr>
            <w:tcW w:w="2239" w:type="dxa"/>
            <w:gridSpan w:val="2"/>
            <w:shd w:val="clear" w:color="auto" w:fill="auto"/>
            <w:noWrap/>
            <w:vAlign w:val="center"/>
          </w:tcPr>
          <w:p w:rsidR="00BA73B9" w:rsidRPr="00572805" w:rsidRDefault="00F11D00" w:rsidP="00F11D00">
            <w:pPr>
              <w:jc w:val="center"/>
              <w:rPr>
                <w:rFonts w:ascii="Arial" w:hAnsi="Arial" w:cs="Arial"/>
                <w:bCs/>
              </w:rPr>
            </w:pPr>
            <w:r w:rsidRPr="00F11D00">
              <w:rPr>
                <w:rFonts w:ascii="Arial" w:hAnsi="Arial" w:cs="Arial"/>
                <w:bCs/>
                <w:color w:val="FF0000"/>
              </w:rPr>
              <w:t>0.08</w:t>
            </w:r>
          </w:p>
        </w:tc>
        <w:tc>
          <w:tcPr>
            <w:tcW w:w="1271" w:type="dxa"/>
            <w:gridSpan w:val="3"/>
            <w:shd w:val="clear" w:color="auto" w:fill="auto"/>
            <w:noWrap/>
            <w:vAlign w:val="center"/>
          </w:tcPr>
          <w:p w:rsidR="00BA73B9" w:rsidRPr="00BA73B9" w:rsidRDefault="00BA73B9" w:rsidP="00F11D00">
            <w:pPr>
              <w:jc w:val="center"/>
              <w:rPr>
                <w:rFonts w:ascii="Arial" w:hAnsi="Arial" w:cs="Arial"/>
              </w:rPr>
            </w:pPr>
            <w:r w:rsidRPr="00BA73B9">
              <w:rPr>
                <w:rFonts w:ascii="Arial" w:hAnsi="Arial" w:cs="Arial"/>
              </w:rPr>
              <w:t>ppm</w:t>
            </w:r>
          </w:p>
        </w:tc>
        <w:tc>
          <w:tcPr>
            <w:tcW w:w="1170" w:type="dxa"/>
            <w:shd w:val="clear" w:color="auto" w:fill="auto"/>
            <w:noWrap/>
            <w:vAlign w:val="center"/>
          </w:tcPr>
          <w:p w:rsidR="00BA73B9" w:rsidRPr="00BA73B9" w:rsidRDefault="00BA73B9" w:rsidP="00F11D00">
            <w:pPr>
              <w:jc w:val="center"/>
              <w:rPr>
                <w:rFonts w:ascii="Arial" w:hAnsi="Arial" w:cs="Arial"/>
              </w:rPr>
            </w:pPr>
            <w:r w:rsidRPr="00BA73B9">
              <w:rPr>
                <w:rFonts w:ascii="Arial" w:hAnsi="Arial" w:cs="Arial"/>
              </w:rPr>
              <w:t>2</w:t>
            </w:r>
          </w:p>
        </w:tc>
        <w:tc>
          <w:tcPr>
            <w:tcW w:w="1350" w:type="dxa"/>
            <w:shd w:val="clear" w:color="auto" w:fill="auto"/>
            <w:noWrap/>
            <w:vAlign w:val="center"/>
          </w:tcPr>
          <w:p w:rsidR="00BA73B9" w:rsidRPr="00BA73B9" w:rsidRDefault="00BA73B9" w:rsidP="00F11D00">
            <w:pPr>
              <w:jc w:val="center"/>
              <w:rPr>
                <w:rFonts w:ascii="Arial" w:hAnsi="Arial" w:cs="Arial"/>
              </w:rPr>
            </w:pPr>
            <w:r w:rsidRPr="00BA73B9">
              <w:rPr>
                <w:rFonts w:ascii="Arial" w:hAnsi="Arial" w:cs="Arial"/>
              </w:rPr>
              <w:t>2</w:t>
            </w:r>
          </w:p>
        </w:tc>
        <w:tc>
          <w:tcPr>
            <w:tcW w:w="3240" w:type="dxa"/>
            <w:shd w:val="clear" w:color="auto" w:fill="auto"/>
            <w:vAlign w:val="center"/>
          </w:tcPr>
          <w:p w:rsidR="00BA73B9" w:rsidRPr="00BA73B9" w:rsidRDefault="00BA73B9" w:rsidP="00F11D00">
            <w:pPr>
              <w:rPr>
                <w:rFonts w:ascii="Arial" w:hAnsi="Arial" w:cs="Arial"/>
              </w:rPr>
            </w:pPr>
            <w:r w:rsidRPr="00BA73B9">
              <w:rPr>
                <w:rFonts w:ascii="Arial" w:hAnsi="Arial" w:cs="Arial"/>
              </w:rPr>
              <w:t>Erosion of natural deposits</w:t>
            </w:r>
          </w:p>
        </w:tc>
      </w:tr>
      <w:tr w:rsidR="00D4741C" w:rsidRPr="00F9587A" w:rsidTr="00F11D00">
        <w:trPr>
          <w:trHeight w:val="269"/>
        </w:trPr>
        <w:tc>
          <w:tcPr>
            <w:tcW w:w="2720" w:type="dxa"/>
            <w:gridSpan w:val="2"/>
            <w:shd w:val="clear" w:color="auto" w:fill="auto"/>
            <w:noWrap/>
            <w:vAlign w:val="center"/>
            <w:hideMark/>
          </w:tcPr>
          <w:p w:rsidR="00D4741C" w:rsidRPr="00572805" w:rsidRDefault="00F11D00" w:rsidP="00F11D00">
            <w:pPr>
              <w:rPr>
                <w:rFonts w:ascii="Arial" w:hAnsi="Arial" w:cs="Arial"/>
                <w:b/>
                <w:bCs/>
              </w:rPr>
            </w:pPr>
            <w:r w:rsidRPr="00F11D00">
              <w:rPr>
                <w:rFonts w:ascii="Arial" w:hAnsi="Arial" w:cs="Arial"/>
                <w:b/>
                <w:bCs/>
                <w:color w:val="FF0000"/>
              </w:rPr>
              <w:t>Nickel</w:t>
            </w:r>
          </w:p>
        </w:tc>
        <w:tc>
          <w:tcPr>
            <w:tcW w:w="990" w:type="dxa"/>
            <w:shd w:val="clear" w:color="auto" w:fill="auto"/>
            <w:noWrap/>
            <w:vAlign w:val="center"/>
            <w:hideMark/>
          </w:tcPr>
          <w:p w:rsidR="00D4741C" w:rsidRPr="00572805" w:rsidRDefault="00D4741C" w:rsidP="00F11D00">
            <w:pPr>
              <w:jc w:val="center"/>
              <w:rPr>
                <w:rFonts w:ascii="Arial" w:hAnsi="Arial" w:cs="Arial"/>
              </w:rPr>
            </w:pPr>
            <w:r w:rsidRPr="00572805">
              <w:rPr>
                <w:rFonts w:ascii="Arial" w:hAnsi="Arial" w:cs="Arial"/>
              </w:rPr>
              <w:t>no</w:t>
            </w:r>
          </w:p>
        </w:tc>
        <w:tc>
          <w:tcPr>
            <w:tcW w:w="1260" w:type="dxa"/>
            <w:shd w:val="clear" w:color="auto" w:fill="auto"/>
            <w:noWrap/>
            <w:vAlign w:val="center"/>
            <w:hideMark/>
          </w:tcPr>
          <w:p w:rsidR="00D4741C" w:rsidRPr="00572805" w:rsidRDefault="00F11D00" w:rsidP="00F11D00">
            <w:pPr>
              <w:jc w:val="center"/>
              <w:rPr>
                <w:rFonts w:ascii="Arial" w:hAnsi="Arial" w:cs="Arial"/>
                <w:bCs/>
              </w:rPr>
            </w:pPr>
            <w:r>
              <w:rPr>
                <w:rFonts w:ascii="Arial" w:hAnsi="Arial" w:cs="Arial"/>
                <w:bCs/>
                <w:color w:val="FF0000"/>
              </w:rPr>
              <w:t>4/21/2021</w:t>
            </w:r>
          </w:p>
        </w:tc>
        <w:tc>
          <w:tcPr>
            <w:tcW w:w="2239" w:type="dxa"/>
            <w:gridSpan w:val="2"/>
            <w:shd w:val="clear" w:color="auto" w:fill="auto"/>
            <w:noWrap/>
            <w:vAlign w:val="center"/>
            <w:hideMark/>
          </w:tcPr>
          <w:p w:rsidR="00D4741C" w:rsidRPr="00572805" w:rsidRDefault="00D4741C" w:rsidP="00F11D00">
            <w:pPr>
              <w:jc w:val="center"/>
              <w:rPr>
                <w:rFonts w:ascii="Arial" w:hAnsi="Arial" w:cs="Arial"/>
                <w:bCs/>
              </w:rPr>
            </w:pPr>
            <w:r w:rsidRPr="00572805">
              <w:rPr>
                <w:rFonts w:ascii="Arial" w:hAnsi="Arial" w:cs="Arial"/>
                <w:bCs/>
              </w:rPr>
              <w:t>1</w:t>
            </w:r>
          </w:p>
        </w:tc>
        <w:tc>
          <w:tcPr>
            <w:tcW w:w="1271" w:type="dxa"/>
            <w:gridSpan w:val="3"/>
            <w:shd w:val="clear" w:color="auto" w:fill="auto"/>
            <w:noWrap/>
            <w:vAlign w:val="center"/>
            <w:hideMark/>
          </w:tcPr>
          <w:p w:rsidR="00D4741C" w:rsidRPr="00BA73B9" w:rsidRDefault="00D4741C" w:rsidP="00F11D00">
            <w:pPr>
              <w:jc w:val="center"/>
              <w:rPr>
                <w:rFonts w:ascii="Arial" w:hAnsi="Arial" w:cs="Arial"/>
              </w:rPr>
            </w:pPr>
            <w:r w:rsidRPr="00BA73B9">
              <w:rPr>
                <w:rFonts w:ascii="Arial" w:hAnsi="Arial" w:cs="Arial"/>
              </w:rPr>
              <w:t>ppb</w:t>
            </w:r>
          </w:p>
        </w:tc>
        <w:tc>
          <w:tcPr>
            <w:tcW w:w="1170" w:type="dxa"/>
            <w:shd w:val="clear" w:color="auto" w:fill="auto"/>
            <w:noWrap/>
            <w:vAlign w:val="center"/>
            <w:hideMark/>
          </w:tcPr>
          <w:p w:rsidR="00D4741C" w:rsidRPr="00BA73B9" w:rsidRDefault="00F11D00" w:rsidP="00F11D00">
            <w:pPr>
              <w:jc w:val="center"/>
              <w:rPr>
                <w:rFonts w:ascii="Arial" w:hAnsi="Arial" w:cs="Arial"/>
              </w:rPr>
            </w:pPr>
            <w:r>
              <w:rPr>
                <w:rFonts w:ascii="Arial" w:hAnsi="Arial" w:cs="Arial"/>
                <w:color w:val="FF0000"/>
              </w:rPr>
              <w:t>N/A</w:t>
            </w:r>
          </w:p>
        </w:tc>
        <w:tc>
          <w:tcPr>
            <w:tcW w:w="1350" w:type="dxa"/>
            <w:shd w:val="clear" w:color="auto" w:fill="auto"/>
            <w:noWrap/>
            <w:vAlign w:val="center"/>
            <w:hideMark/>
          </w:tcPr>
          <w:p w:rsidR="00D4741C" w:rsidRPr="00BA73B9" w:rsidRDefault="00F11D00" w:rsidP="00F11D00">
            <w:pPr>
              <w:jc w:val="center"/>
              <w:rPr>
                <w:rFonts w:ascii="Arial" w:hAnsi="Arial" w:cs="Arial"/>
              </w:rPr>
            </w:pPr>
            <w:r w:rsidRPr="00F11D00">
              <w:rPr>
                <w:rFonts w:ascii="Arial" w:hAnsi="Arial" w:cs="Arial"/>
                <w:color w:val="FF0000"/>
              </w:rPr>
              <w:t>N/A</w:t>
            </w:r>
          </w:p>
        </w:tc>
        <w:tc>
          <w:tcPr>
            <w:tcW w:w="3240" w:type="dxa"/>
            <w:shd w:val="clear" w:color="auto" w:fill="auto"/>
            <w:vAlign w:val="center"/>
            <w:hideMark/>
          </w:tcPr>
          <w:p w:rsidR="00D4741C" w:rsidRPr="00BA73B9" w:rsidRDefault="00D4741C" w:rsidP="00F11D00">
            <w:pPr>
              <w:rPr>
                <w:rFonts w:ascii="Arial" w:hAnsi="Arial" w:cs="Arial"/>
              </w:rPr>
            </w:pPr>
            <w:r w:rsidRPr="00BA73B9">
              <w:rPr>
                <w:rFonts w:ascii="Arial" w:hAnsi="Arial" w:cs="Arial"/>
              </w:rPr>
              <w:t xml:space="preserve">Naturally </w:t>
            </w:r>
            <w:r w:rsidR="00572805" w:rsidRPr="00BA73B9">
              <w:rPr>
                <w:rFonts w:ascii="Arial" w:hAnsi="Arial" w:cs="Arial"/>
              </w:rPr>
              <w:t>occurring</w:t>
            </w:r>
          </w:p>
        </w:tc>
      </w:tr>
      <w:tr w:rsidR="00D4741C" w:rsidRPr="00F9587A" w:rsidTr="00F11D00">
        <w:trPr>
          <w:trHeight w:val="315"/>
        </w:trPr>
        <w:tc>
          <w:tcPr>
            <w:tcW w:w="2720" w:type="dxa"/>
            <w:gridSpan w:val="2"/>
            <w:shd w:val="clear" w:color="auto" w:fill="auto"/>
            <w:noWrap/>
            <w:vAlign w:val="center"/>
          </w:tcPr>
          <w:p w:rsidR="00D4741C" w:rsidRPr="00572805" w:rsidRDefault="00D4741C" w:rsidP="00F11D00">
            <w:pPr>
              <w:rPr>
                <w:rFonts w:ascii="Arial" w:hAnsi="Arial" w:cs="Arial"/>
                <w:b/>
                <w:bCs/>
              </w:rPr>
            </w:pPr>
            <w:r w:rsidRPr="00572805">
              <w:rPr>
                <w:rFonts w:ascii="Arial" w:hAnsi="Arial" w:cs="Arial"/>
                <w:b/>
                <w:bCs/>
              </w:rPr>
              <w:t>Fluoride</w:t>
            </w:r>
          </w:p>
        </w:tc>
        <w:tc>
          <w:tcPr>
            <w:tcW w:w="990" w:type="dxa"/>
            <w:shd w:val="clear" w:color="auto" w:fill="auto"/>
            <w:noWrap/>
            <w:vAlign w:val="center"/>
          </w:tcPr>
          <w:p w:rsidR="00D4741C" w:rsidRPr="00572805" w:rsidRDefault="00D4741C" w:rsidP="00F11D00">
            <w:pPr>
              <w:jc w:val="center"/>
              <w:rPr>
                <w:rFonts w:ascii="Arial" w:hAnsi="Arial" w:cs="Arial"/>
              </w:rPr>
            </w:pPr>
            <w:r w:rsidRPr="00572805">
              <w:rPr>
                <w:rFonts w:ascii="Arial" w:hAnsi="Arial" w:cs="Arial"/>
              </w:rPr>
              <w:t>no</w:t>
            </w:r>
          </w:p>
        </w:tc>
        <w:tc>
          <w:tcPr>
            <w:tcW w:w="1260" w:type="dxa"/>
            <w:shd w:val="clear" w:color="auto" w:fill="auto"/>
            <w:noWrap/>
            <w:vAlign w:val="center"/>
          </w:tcPr>
          <w:p w:rsidR="00D4741C" w:rsidRPr="00572805" w:rsidRDefault="003309C2" w:rsidP="00F11D00">
            <w:pPr>
              <w:jc w:val="center"/>
              <w:rPr>
                <w:rFonts w:ascii="Arial" w:hAnsi="Arial" w:cs="Arial"/>
                <w:bCs/>
              </w:rPr>
            </w:pPr>
            <w:r>
              <w:rPr>
                <w:rFonts w:ascii="Arial" w:hAnsi="Arial" w:cs="Arial"/>
                <w:bCs/>
              </w:rPr>
              <w:t>In 2021</w:t>
            </w:r>
            <w:r w:rsidR="00D4741C" w:rsidRPr="00572805">
              <w:rPr>
                <w:rFonts w:ascii="Arial" w:hAnsi="Arial" w:cs="Arial"/>
                <w:bCs/>
              </w:rPr>
              <w:t xml:space="preserve">: </w:t>
            </w:r>
            <w:r w:rsidR="00D4741C" w:rsidRPr="00572805">
              <w:rPr>
                <w:rFonts w:ascii="Arial" w:hAnsi="Arial" w:cs="Arial"/>
                <w:bCs/>
              </w:rPr>
              <w:br/>
              <w:t>daily</w:t>
            </w:r>
          </w:p>
        </w:tc>
        <w:tc>
          <w:tcPr>
            <w:tcW w:w="2239" w:type="dxa"/>
            <w:gridSpan w:val="2"/>
            <w:shd w:val="clear" w:color="auto" w:fill="auto"/>
            <w:noWrap/>
            <w:vAlign w:val="center"/>
          </w:tcPr>
          <w:p w:rsidR="00D4741C" w:rsidRPr="00572805" w:rsidRDefault="00D4741C" w:rsidP="00F11D00">
            <w:pPr>
              <w:jc w:val="center"/>
              <w:rPr>
                <w:rFonts w:ascii="Arial" w:hAnsi="Arial" w:cs="Arial"/>
                <w:bCs/>
              </w:rPr>
            </w:pPr>
            <w:r w:rsidRPr="00572805">
              <w:rPr>
                <w:rFonts w:ascii="Arial" w:hAnsi="Arial" w:cs="Arial"/>
                <w:bCs/>
              </w:rPr>
              <w:t xml:space="preserve">High </w:t>
            </w:r>
            <w:r w:rsidR="00F11D00">
              <w:rPr>
                <w:rFonts w:ascii="Arial" w:hAnsi="Arial" w:cs="Arial"/>
                <w:bCs/>
                <w:color w:val="FF0000"/>
              </w:rPr>
              <w:t>0.8</w:t>
            </w:r>
            <w:r w:rsidRPr="00572805">
              <w:rPr>
                <w:rFonts w:ascii="Arial" w:hAnsi="Arial" w:cs="Arial"/>
                <w:bCs/>
              </w:rPr>
              <w:br/>
              <w:t xml:space="preserve">Low </w:t>
            </w:r>
            <w:r w:rsidR="005150B2" w:rsidRPr="00572805">
              <w:rPr>
                <w:rFonts w:ascii="Arial" w:hAnsi="Arial" w:cs="Arial"/>
                <w:bCs/>
              </w:rPr>
              <w:t>0</w:t>
            </w:r>
            <w:r w:rsidR="003309C2">
              <w:rPr>
                <w:rFonts w:ascii="Arial" w:hAnsi="Arial" w:cs="Arial"/>
                <w:bCs/>
              </w:rPr>
              <w:t>.51</w:t>
            </w:r>
            <w:r w:rsidRPr="00572805">
              <w:rPr>
                <w:rFonts w:ascii="Arial" w:hAnsi="Arial" w:cs="Arial"/>
                <w:bCs/>
              </w:rPr>
              <w:br/>
              <w:t xml:space="preserve">Average </w:t>
            </w:r>
            <w:r w:rsidR="005150B2" w:rsidRPr="00572805">
              <w:rPr>
                <w:rFonts w:ascii="Arial" w:hAnsi="Arial" w:cs="Arial"/>
                <w:bCs/>
              </w:rPr>
              <w:t>0</w:t>
            </w:r>
            <w:r w:rsidRPr="00572805">
              <w:rPr>
                <w:rFonts w:ascii="Arial" w:hAnsi="Arial" w:cs="Arial"/>
                <w:bCs/>
              </w:rPr>
              <w:t>.6</w:t>
            </w:r>
            <w:r w:rsidR="003309C2">
              <w:rPr>
                <w:rFonts w:ascii="Arial" w:hAnsi="Arial" w:cs="Arial"/>
                <w:bCs/>
              </w:rPr>
              <w:t>7</w:t>
            </w:r>
          </w:p>
        </w:tc>
        <w:tc>
          <w:tcPr>
            <w:tcW w:w="1271" w:type="dxa"/>
            <w:gridSpan w:val="3"/>
            <w:shd w:val="clear" w:color="auto" w:fill="auto"/>
            <w:noWrap/>
            <w:vAlign w:val="center"/>
          </w:tcPr>
          <w:p w:rsidR="00D4741C" w:rsidRPr="00BA73B9" w:rsidRDefault="00D4741C" w:rsidP="00F11D00">
            <w:pPr>
              <w:jc w:val="center"/>
              <w:rPr>
                <w:rFonts w:ascii="Arial" w:hAnsi="Arial" w:cs="Arial"/>
              </w:rPr>
            </w:pPr>
            <w:r w:rsidRPr="00BA73B9">
              <w:rPr>
                <w:rFonts w:ascii="Arial" w:hAnsi="Arial" w:cs="Arial"/>
              </w:rPr>
              <w:t>ppm</w:t>
            </w:r>
          </w:p>
        </w:tc>
        <w:tc>
          <w:tcPr>
            <w:tcW w:w="1170" w:type="dxa"/>
            <w:shd w:val="clear" w:color="auto" w:fill="auto"/>
            <w:noWrap/>
            <w:vAlign w:val="center"/>
          </w:tcPr>
          <w:p w:rsidR="00D4741C" w:rsidRPr="00BA73B9" w:rsidRDefault="00D4741C" w:rsidP="00F11D00">
            <w:pPr>
              <w:jc w:val="center"/>
              <w:rPr>
                <w:rFonts w:ascii="Arial" w:hAnsi="Arial" w:cs="Arial"/>
              </w:rPr>
            </w:pPr>
            <w:r w:rsidRPr="00BA73B9">
              <w:rPr>
                <w:rFonts w:ascii="Arial" w:hAnsi="Arial" w:cs="Arial"/>
              </w:rPr>
              <w:t>n/a</w:t>
            </w:r>
          </w:p>
        </w:tc>
        <w:tc>
          <w:tcPr>
            <w:tcW w:w="1350" w:type="dxa"/>
            <w:shd w:val="clear" w:color="auto" w:fill="auto"/>
            <w:noWrap/>
            <w:vAlign w:val="center"/>
          </w:tcPr>
          <w:p w:rsidR="00D4741C" w:rsidRPr="00BA73B9" w:rsidRDefault="00D4741C" w:rsidP="00F11D00">
            <w:pPr>
              <w:jc w:val="center"/>
              <w:rPr>
                <w:rFonts w:ascii="Arial" w:hAnsi="Arial" w:cs="Arial"/>
              </w:rPr>
            </w:pPr>
            <w:r w:rsidRPr="00BA73B9">
              <w:rPr>
                <w:rFonts w:ascii="Arial" w:hAnsi="Arial" w:cs="Arial"/>
              </w:rPr>
              <w:t>2.2</w:t>
            </w:r>
          </w:p>
        </w:tc>
        <w:tc>
          <w:tcPr>
            <w:tcW w:w="3240" w:type="dxa"/>
            <w:shd w:val="clear" w:color="auto" w:fill="auto"/>
            <w:vAlign w:val="center"/>
          </w:tcPr>
          <w:p w:rsidR="00D4741C" w:rsidRPr="00BA73B9" w:rsidRDefault="00D4741C" w:rsidP="00F11D00">
            <w:pPr>
              <w:rPr>
                <w:rFonts w:ascii="Arial" w:hAnsi="Arial" w:cs="Arial"/>
              </w:rPr>
            </w:pPr>
            <w:r w:rsidRPr="00BA73B9">
              <w:rPr>
                <w:rFonts w:ascii="Arial" w:hAnsi="Arial" w:cs="Arial"/>
              </w:rPr>
              <w:t>Water additive which promotes strong teeth</w:t>
            </w:r>
          </w:p>
        </w:tc>
      </w:tr>
      <w:tr w:rsidR="00811B58" w:rsidTr="00F11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2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B58" w:rsidRPr="00FF0AC9" w:rsidRDefault="00811B58" w:rsidP="00F11D00">
            <w:pPr>
              <w:widowControl/>
              <w:autoSpaceDE/>
              <w:autoSpaceDN/>
              <w:adjustRightInd/>
              <w:rPr>
                <w:rFonts w:ascii="Arial" w:hAnsi="Arial" w:cs="Arial"/>
                <w:b/>
                <w:bCs/>
              </w:rPr>
            </w:pPr>
            <w:r w:rsidRPr="00FF0AC9">
              <w:rPr>
                <w:rFonts w:ascii="Arial" w:hAnsi="Arial" w:cs="Arial"/>
                <w:b/>
                <w:bCs/>
              </w:rPr>
              <w:t>Gross beta</w:t>
            </w:r>
            <w:r>
              <w:rPr>
                <w:rFonts w:ascii="Arial" w:hAnsi="Arial" w:cs="Arial"/>
                <w:b/>
                <w:bCs/>
              </w:rPr>
              <w:t xml:space="preserve"> activity</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B58" w:rsidRPr="00FF0AC9" w:rsidRDefault="00811B58" w:rsidP="00F11D00">
            <w:pPr>
              <w:jc w:val="center"/>
              <w:rPr>
                <w:rFonts w:ascii="Arial" w:hAnsi="Arial" w:cs="Arial"/>
              </w:rPr>
            </w:pPr>
            <w:r w:rsidRPr="00FF0AC9">
              <w:rPr>
                <w:rFonts w:ascii="Arial" w:hAnsi="Arial" w:cs="Arial"/>
              </w:rPr>
              <w:t>no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B58" w:rsidRPr="00FF0AC9" w:rsidRDefault="00811B58" w:rsidP="00F11D00">
            <w:pPr>
              <w:jc w:val="center"/>
              <w:rPr>
                <w:rFonts w:ascii="Arial" w:hAnsi="Arial" w:cs="Arial"/>
                <w:bCs/>
              </w:rPr>
            </w:pPr>
            <w:r w:rsidRPr="00FF0AC9">
              <w:rPr>
                <w:rFonts w:ascii="Arial" w:hAnsi="Arial" w:cs="Arial"/>
                <w:bCs/>
              </w:rPr>
              <w:t>5/20/</w:t>
            </w:r>
            <w:r>
              <w:rPr>
                <w:rFonts w:ascii="Arial" w:hAnsi="Arial" w:cs="Arial"/>
                <w:bCs/>
              </w:rPr>
              <w:t>2019</w:t>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11B58" w:rsidRPr="00FF0AC9" w:rsidRDefault="00811B58" w:rsidP="00F11D00">
            <w:pPr>
              <w:jc w:val="center"/>
              <w:rPr>
                <w:rFonts w:ascii="Arial" w:hAnsi="Arial" w:cs="Arial"/>
                <w:bCs/>
              </w:rPr>
            </w:pPr>
            <w:r w:rsidRPr="00FF0AC9">
              <w:rPr>
                <w:rFonts w:ascii="Arial" w:hAnsi="Arial" w:cs="Arial"/>
                <w:bCs/>
              </w:rPr>
              <w:t>1.6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B58" w:rsidRPr="00FF0AC9" w:rsidRDefault="00811B58" w:rsidP="00F11D00">
            <w:pPr>
              <w:jc w:val="center"/>
              <w:rPr>
                <w:rFonts w:ascii="Arial" w:hAnsi="Arial" w:cs="Arial"/>
              </w:rPr>
            </w:pPr>
            <w:proofErr w:type="spellStart"/>
            <w:r w:rsidRPr="00FF0AC9">
              <w:rPr>
                <w:rFonts w:ascii="Arial" w:hAnsi="Arial" w:cs="Arial"/>
              </w:rPr>
              <w:t>pCi</w:t>
            </w:r>
            <w:proofErr w:type="spellEnd"/>
            <w:r w:rsidRPr="00FF0AC9">
              <w:rPr>
                <w:rFonts w:ascii="Arial" w:hAnsi="Arial" w:cs="Arial"/>
              </w:rPr>
              <w:t>/L</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B58" w:rsidRPr="00FF0AC9" w:rsidRDefault="00811B58" w:rsidP="00F11D00">
            <w:pPr>
              <w:jc w:val="center"/>
              <w:rPr>
                <w:rFonts w:ascii="Arial" w:hAnsi="Arial" w:cs="Arial"/>
              </w:rPr>
            </w:pPr>
            <w:r w:rsidRPr="00FF0AC9">
              <w:rPr>
                <w:rFonts w:ascii="Arial" w:hAnsi="Arial" w:cs="Arial"/>
              </w:rPr>
              <w:t>n/a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B58" w:rsidRPr="00FF0AC9" w:rsidRDefault="00811B58" w:rsidP="00F11D00">
            <w:pPr>
              <w:jc w:val="center"/>
              <w:rPr>
                <w:rFonts w:ascii="Arial" w:hAnsi="Arial" w:cs="Arial"/>
              </w:rPr>
            </w:pPr>
            <w:r w:rsidRPr="00FF0AC9">
              <w:rPr>
                <w:rFonts w:ascii="Arial" w:hAnsi="Arial" w:cs="Arial"/>
              </w:rPr>
              <w:t xml:space="preserve">NY State considers </w:t>
            </w:r>
          </w:p>
          <w:p w:rsidR="00811B58" w:rsidRPr="00FF0AC9" w:rsidRDefault="00811B58" w:rsidP="00F11D00">
            <w:pPr>
              <w:jc w:val="center"/>
              <w:rPr>
                <w:rFonts w:ascii="Arial" w:hAnsi="Arial" w:cs="Arial"/>
              </w:rPr>
            </w:pPr>
            <w:r w:rsidRPr="00FF0AC9">
              <w:rPr>
                <w:rFonts w:ascii="Arial" w:hAnsi="Arial" w:cs="Arial"/>
              </w:rPr>
              <w:t xml:space="preserve">50 </w:t>
            </w:r>
            <w:proofErr w:type="spellStart"/>
            <w:r w:rsidRPr="00FF0AC9">
              <w:rPr>
                <w:rFonts w:ascii="Arial" w:hAnsi="Arial" w:cs="Arial"/>
              </w:rPr>
              <w:t>pCi</w:t>
            </w:r>
            <w:proofErr w:type="spellEnd"/>
            <w:r w:rsidRPr="00FF0AC9">
              <w:rPr>
                <w:rFonts w:ascii="Arial" w:hAnsi="Arial" w:cs="Arial"/>
              </w:rPr>
              <w:t>/L to be the level of concern</w:t>
            </w:r>
          </w:p>
        </w:tc>
        <w:tc>
          <w:tcPr>
            <w:tcW w:w="3240" w:type="dxa"/>
            <w:tcBorders>
              <w:top w:val="single" w:sz="4" w:space="0" w:color="auto"/>
              <w:bottom w:val="single" w:sz="4" w:space="0" w:color="auto"/>
              <w:right w:val="single" w:sz="4" w:space="0" w:color="auto"/>
            </w:tcBorders>
            <w:vAlign w:val="center"/>
          </w:tcPr>
          <w:p w:rsidR="00811B58" w:rsidRDefault="00811B58" w:rsidP="00F11D00">
            <w:pPr>
              <w:rPr>
                <w:rFonts w:ascii="Arial" w:hAnsi="Arial" w:cs="Arial"/>
              </w:rPr>
            </w:pPr>
            <w:r w:rsidRPr="00FF0AC9">
              <w:rPr>
                <w:rFonts w:ascii="Arial" w:hAnsi="Arial" w:cs="Arial"/>
              </w:rPr>
              <w:t xml:space="preserve">Decay of natural </w:t>
            </w:r>
            <w:r>
              <w:rPr>
                <w:rFonts w:ascii="Arial" w:hAnsi="Arial" w:cs="Arial"/>
              </w:rPr>
              <w:t xml:space="preserve">radioactive </w:t>
            </w:r>
            <w:r w:rsidRPr="00FF0AC9">
              <w:rPr>
                <w:rFonts w:ascii="Arial" w:hAnsi="Arial" w:cs="Arial"/>
              </w:rPr>
              <w:t>deposits</w:t>
            </w:r>
          </w:p>
          <w:p w:rsidR="00811B58" w:rsidRDefault="00811B58" w:rsidP="00F11D00">
            <w:pPr>
              <w:rPr>
                <w:rFonts w:ascii="Arial" w:hAnsi="Arial" w:cs="Arial"/>
              </w:rPr>
            </w:pPr>
          </w:p>
          <w:p w:rsidR="00811B58" w:rsidRPr="00FF0AC9" w:rsidRDefault="00811B58" w:rsidP="00F11D00">
            <w:pPr>
              <w:rPr>
                <w:rFonts w:ascii="Arial" w:hAnsi="Arial" w:cs="Arial"/>
              </w:rPr>
            </w:pPr>
          </w:p>
        </w:tc>
      </w:tr>
      <w:tr w:rsidR="00D4741C" w:rsidRPr="00F9587A" w:rsidTr="00F11D00">
        <w:trPr>
          <w:trHeight w:val="315"/>
        </w:trPr>
        <w:tc>
          <w:tcPr>
            <w:tcW w:w="2720" w:type="dxa"/>
            <w:gridSpan w:val="2"/>
            <w:shd w:val="clear" w:color="auto" w:fill="auto"/>
            <w:noWrap/>
            <w:vAlign w:val="bottom"/>
            <w:hideMark/>
          </w:tcPr>
          <w:p w:rsidR="00D4741C" w:rsidRPr="00572805" w:rsidRDefault="00D4741C" w:rsidP="00F11D00">
            <w:pPr>
              <w:rPr>
                <w:rFonts w:ascii="Arial" w:hAnsi="Arial" w:cs="Arial"/>
                <w:b/>
                <w:bCs/>
              </w:rPr>
            </w:pPr>
            <w:r w:rsidRPr="00572805">
              <w:rPr>
                <w:rFonts w:ascii="Arial" w:hAnsi="Arial" w:cs="Arial"/>
                <w:b/>
                <w:bCs/>
              </w:rPr>
              <w:t>Nitrates</w:t>
            </w:r>
          </w:p>
        </w:tc>
        <w:tc>
          <w:tcPr>
            <w:tcW w:w="990" w:type="dxa"/>
            <w:shd w:val="clear" w:color="auto" w:fill="auto"/>
            <w:noWrap/>
            <w:vAlign w:val="bottom"/>
            <w:hideMark/>
          </w:tcPr>
          <w:p w:rsidR="00D4741C" w:rsidRPr="00572805" w:rsidRDefault="00D4741C" w:rsidP="00F11D00">
            <w:pPr>
              <w:jc w:val="center"/>
              <w:rPr>
                <w:rFonts w:ascii="Arial" w:hAnsi="Arial" w:cs="Arial"/>
              </w:rPr>
            </w:pPr>
            <w:r w:rsidRPr="00572805">
              <w:rPr>
                <w:rFonts w:ascii="Arial" w:hAnsi="Arial" w:cs="Arial"/>
              </w:rPr>
              <w:t>no</w:t>
            </w:r>
          </w:p>
        </w:tc>
        <w:tc>
          <w:tcPr>
            <w:tcW w:w="1260" w:type="dxa"/>
            <w:shd w:val="clear" w:color="auto" w:fill="auto"/>
            <w:noWrap/>
            <w:vAlign w:val="center"/>
            <w:hideMark/>
          </w:tcPr>
          <w:p w:rsidR="00D4741C" w:rsidRPr="00572805" w:rsidRDefault="003309C2" w:rsidP="00F11D00">
            <w:pPr>
              <w:jc w:val="center"/>
              <w:rPr>
                <w:rFonts w:ascii="Arial" w:hAnsi="Arial" w:cs="Arial"/>
                <w:bCs/>
              </w:rPr>
            </w:pPr>
            <w:r>
              <w:rPr>
                <w:rFonts w:ascii="Arial" w:hAnsi="Arial" w:cs="Arial"/>
                <w:bCs/>
              </w:rPr>
              <w:t>4/21</w:t>
            </w:r>
            <w:r w:rsidR="00D4741C" w:rsidRPr="00572805">
              <w:rPr>
                <w:rFonts w:ascii="Arial" w:hAnsi="Arial" w:cs="Arial"/>
                <w:bCs/>
              </w:rPr>
              <w:t>/202</w:t>
            </w:r>
            <w:r>
              <w:rPr>
                <w:rFonts w:ascii="Arial" w:hAnsi="Arial" w:cs="Arial"/>
                <w:bCs/>
              </w:rPr>
              <w:t>1</w:t>
            </w:r>
          </w:p>
        </w:tc>
        <w:tc>
          <w:tcPr>
            <w:tcW w:w="2239" w:type="dxa"/>
            <w:gridSpan w:val="2"/>
            <w:shd w:val="clear" w:color="auto" w:fill="auto"/>
            <w:noWrap/>
            <w:vAlign w:val="bottom"/>
            <w:hideMark/>
          </w:tcPr>
          <w:p w:rsidR="00D4741C" w:rsidRPr="00572805" w:rsidRDefault="00D4741C" w:rsidP="00F11D00">
            <w:pPr>
              <w:jc w:val="center"/>
              <w:rPr>
                <w:rFonts w:ascii="Arial" w:hAnsi="Arial" w:cs="Arial"/>
                <w:bCs/>
              </w:rPr>
            </w:pPr>
            <w:r w:rsidRPr="00572805">
              <w:rPr>
                <w:rFonts w:ascii="Arial" w:hAnsi="Arial" w:cs="Arial"/>
                <w:bCs/>
              </w:rPr>
              <w:t>1.</w:t>
            </w:r>
            <w:r w:rsidR="003309C2">
              <w:rPr>
                <w:rFonts w:ascii="Arial" w:hAnsi="Arial" w:cs="Arial"/>
                <w:bCs/>
              </w:rPr>
              <w:t>0</w:t>
            </w:r>
          </w:p>
        </w:tc>
        <w:tc>
          <w:tcPr>
            <w:tcW w:w="1271" w:type="dxa"/>
            <w:gridSpan w:val="3"/>
            <w:shd w:val="clear" w:color="auto" w:fill="auto"/>
            <w:noWrap/>
            <w:vAlign w:val="bottom"/>
            <w:hideMark/>
          </w:tcPr>
          <w:p w:rsidR="00D4741C" w:rsidRPr="00BA73B9" w:rsidRDefault="00D4741C" w:rsidP="00F11D00">
            <w:pPr>
              <w:jc w:val="center"/>
              <w:rPr>
                <w:rFonts w:ascii="Arial" w:hAnsi="Arial" w:cs="Arial"/>
              </w:rPr>
            </w:pPr>
            <w:r w:rsidRPr="00BA73B9">
              <w:rPr>
                <w:rFonts w:ascii="Arial" w:hAnsi="Arial" w:cs="Arial"/>
              </w:rPr>
              <w:t>ppm</w:t>
            </w:r>
          </w:p>
        </w:tc>
        <w:tc>
          <w:tcPr>
            <w:tcW w:w="1170" w:type="dxa"/>
            <w:shd w:val="clear" w:color="auto" w:fill="auto"/>
            <w:noWrap/>
            <w:vAlign w:val="bottom"/>
            <w:hideMark/>
          </w:tcPr>
          <w:p w:rsidR="00D4741C" w:rsidRPr="00BA73B9" w:rsidRDefault="00D4741C" w:rsidP="00F11D00">
            <w:pPr>
              <w:jc w:val="center"/>
              <w:rPr>
                <w:rFonts w:ascii="Arial" w:hAnsi="Arial" w:cs="Arial"/>
              </w:rPr>
            </w:pPr>
            <w:r w:rsidRPr="00BA73B9">
              <w:rPr>
                <w:rFonts w:ascii="Arial" w:hAnsi="Arial" w:cs="Arial"/>
              </w:rPr>
              <w:t>10</w:t>
            </w:r>
          </w:p>
        </w:tc>
        <w:tc>
          <w:tcPr>
            <w:tcW w:w="1350" w:type="dxa"/>
            <w:shd w:val="clear" w:color="auto" w:fill="auto"/>
            <w:noWrap/>
            <w:vAlign w:val="bottom"/>
            <w:hideMark/>
          </w:tcPr>
          <w:p w:rsidR="00D4741C" w:rsidRPr="00BA73B9" w:rsidRDefault="00D4741C" w:rsidP="00F11D00">
            <w:pPr>
              <w:jc w:val="center"/>
              <w:rPr>
                <w:rFonts w:ascii="Arial" w:hAnsi="Arial" w:cs="Arial"/>
              </w:rPr>
            </w:pPr>
            <w:r w:rsidRPr="00BA73B9">
              <w:rPr>
                <w:rFonts w:ascii="Arial" w:hAnsi="Arial" w:cs="Arial"/>
              </w:rPr>
              <w:t>10</w:t>
            </w:r>
          </w:p>
        </w:tc>
        <w:tc>
          <w:tcPr>
            <w:tcW w:w="3240" w:type="dxa"/>
            <w:shd w:val="clear" w:color="auto" w:fill="auto"/>
            <w:vAlign w:val="bottom"/>
            <w:hideMark/>
          </w:tcPr>
          <w:p w:rsidR="00D4741C" w:rsidRPr="00BA73B9" w:rsidRDefault="00D4741C" w:rsidP="00F11D00">
            <w:pPr>
              <w:rPr>
                <w:rFonts w:ascii="Arial" w:hAnsi="Arial" w:cs="Arial"/>
              </w:rPr>
            </w:pPr>
            <w:r w:rsidRPr="00BA73B9">
              <w:rPr>
                <w:rFonts w:ascii="Arial" w:hAnsi="Arial" w:cs="Arial"/>
              </w:rPr>
              <w:t>Runoff from fertilizer use</w:t>
            </w:r>
          </w:p>
        </w:tc>
      </w:tr>
      <w:tr w:rsidR="00D4741C" w:rsidRPr="00F9587A" w:rsidTr="00F11D00">
        <w:trPr>
          <w:trHeight w:val="350"/>
        </w:trPr>
        <w:tc>
          <w:tcPr>
            <w:tcW w:w="2720" w:type="dxa"/>
            <w:gridSpan w:val="2"/>
            <w:shd w:val="clear" w:color="auto" w:fill="auto"/>
            <w:noWrap/>
            <w:vAlign w:val="center"/>
            <w:hideMark/>
          </w:tcPr>
          <w:p w:rsidR="00D4741C" w:rsidRPr="00572805" w:rsidRDefault="00D4741C" w:rsidP="00F11D00">
            <w:pPr>
              <w:rPr>
                <w:rFonts w:ascii="Arial" w:hAnsi="Arial" w:cs="Arial"/>
                <w:b/>
                <w:bCs/>
              </w:rPr>
            </w:pPr>
            <w:r w:rsidRPr="00572805">
              <w:rPr>
                <w:rFonts w:ascii="Arial" w:hAnsi="Arial" w:cs="Arial"/>
                <w:b/>
                <w:bCs/>
              </w:rPr>
              <w:t>*Sodium</w:t>
            </w:r>
          </w:p>
        </w:tc>
        <w:tc>
          <w:tcPr>
            <w:tcW w:w="990" w:type="dxa"/>
            <w:shd w:val="clear" w:color="auto" w:fill="auto"/>
            <w:noWrap/>
            <w:vAlign w:val="center"/>
            <w:hideMark/>
          </w:tcPr>
          <w:p w:rsidR="00D4741C" w:rsidRPr="00572805" w:rsidRDefault="00D4741C" w:rsidP="00F11D00">
            <w:pPr>
              <w:jc w:val="center"/>
              <w:rPr>
                <w:rFonts w:ascii="Arial" w:hAnsi="Arial" w:cs="Arial"/>
              </w:rPr>
            </w:pPr>
            <w:r w:rsidRPr="00572805">
              <w:rPr>
                <w:rFonts w:ascii="Arial" w:hAnsi="Arial" w:cs="Arial"/>
              </w:rPr>
              <w:t>no</w:t>
            </w:r>
          </w:p>
        </w:tc>
        <w:tc>
          <w:tcPr>
            <w:tcW w:w="1260" w:type="dxa"/>
            <w:shd w:val="clear" w:color="auto" w:fill="auto"/>
            <w:noWrap/>
            <w:vAlign w:val="center"/>
            <w:hideMark/>
          </w:tcPr>
          <w:p w:rsidR="00D4741C" w:rsidRPr="00572805" w:rsidRDefault="003309C2" w:rsidP="00F11D00">
            <w:pPr>
              <w:jc w:val="center"/>
              <w:rPr>
                <w:rFonts w:ascii="Arial" w:hAnsi="Arial" w:cs="Arial"/>
                <w:bCs/>
              </w:rPr>
            </w:pPr>
            <w:r>
              <w:rPr>
                <w:rFonts w:ascii="Arial" w:hAnsi="Arial" w:cs="Arial"/>
                <w:bCs/>
              </w:rPr>
              <w:t>4/21</w:t>
            </w:r>
            <w:r w:rsidR="00D4741C" w:rsidRPr="00572805">
              <w:rPr>
                <w:rFonts w:ascii="Arial" w:hAnsi="Arial" w:cs="Arial"/>
                <w:bCs/>
              </w:rPr>
              <w:t>/202</w:t>
            </w:r>
            <w:r>
              <w:rPr>
                <w:rFonts w:ascii="Arial" w:hAnsi="Arial" w:cs="Arial"/>
                <w:bCs/>
              </w:rPr>
              <w:t>1</w:t>
            </w:r>
          </w:p>
        </w:tc>
        <w:tc>
          <w:tcPr>
            <w:tcW w:w="2239" w:type="dxa"/>
            <w:gridSpan w:val="2"/>
            <w:shd w:val="clear" w:color="auto" w:fill="auto"/>
            <w:noWrap/>
            <w:vAlign w:val="center"/>
            <w:hideMark/>
          </w:tcPr>
          <w:p w:rsidR="00D4741C" w:rsidRPr="00572805" w:rsidRDefault="00D4741C" w:rsidP="00F11D00">
            <w:pPr>
              <w:jc w:val="center"/>
              <w:rPr>
                <w:rFonts w:ascii="Arial" w:hAnsi="Arial" w:cs="Arial"/>
                <w:bCs/>
              </w:rPr>
            </w:pPr>
            <w:r w:rsidRPr="00572805">
              <w:rPr>
                <w:rFonts w:ascii="Arial" w:hAnsi="Arial" w:cs="Arial"/>
                <w:bCs/>
              </w:rPr>
              <w:t>3</w:t>
            </w:r>
            <w:r w:rsidR="003309C2">
              <w:rPr>
                <w:rFonts w:ascii="Arial" w:hAnsi="Arial" w:cs="Arial"/>
                <w:bCs/>
              </w:rPr>
              <w:t>0</w:t>
            </w:r>
          </w:p>
        </w:tc>
        <w:tc>
          <w:tcPr>
            <w:tcW w:w="1271" w:type="dxa"/>
            <w:gridSpan w:val="3"/>
            <w:shd w:val="clear" w:color="auto" w:fill="auto"/>
            <w:noWrap/>
            <w:vAlign w:val="center"/>
            <w:hideMark/>
          </w:tcPr>
          <w:p w:rsidR="00D4741C" w:rsidRPr="00BA73B9" w:rsidRDefault="00D4741C" w:rsidP="00F11D00">
            <w:pPr>
              <w:jc w:val="center"/>
              <w:rPr>
                <w:rFonts w:ascii="Arial" w:hAnsi="Arial" w:cs="Arial"/>
              </w:rPr>
            </w:pPr>
            <w:r w:rsidRPr="00BA73B9">
              <w:rPr>
                <w:rFonts w:ascii="Arial" w:hAnsi="Arial" w:cs="Arial"/>
              </w:rPr>
              <w:t>ppm</w:t>
            </w:r>
          </w:p>
        </w:tc>
        <w:tc>
          <w:tcPr>
            <w:tcW w:w="1170" w:type="dxa"/>
            <w:shd w:val="clear" w:color="auto" w:fill="auto"/>
            <w:noWrap/>
            <w:vAlign w:val="center"/>
            <w:hideMark/>
          </w:tcPr>
          <w:p w:rsidR="00D4741C" w:rsidRPr="00BA73B9" w:rsidRDefault="00D4741C" w:rsidP="00F11D00">
            <w:pPr>
              <w:jc w:val="center"/>
              <w:rPr>
                <w:rFonts w:ascii="Arial" w:hAnsi="Arial" w:cs="Arial"/>
              </w:rPr>
            </w:pPr>
            <w:r w:rsidRPr="00BA73B9">
              <w:rPr>
                <w:rFonts w:ascii="Arial" w:hAnsi="Arial" w:cs="Arial"/>
              </w:rPr>
              <w:t>n/a</w:t>
            </w:r>
          </w:p>
        </w:tc>
        <w:tc>
          <w:tcPr>
            <w:tcW w:w="1350" w:type="dxa"/>
            <w:shd w:val="clear" w:color="auto" w:fill="auto"/>
            <w:vAlign w:val="center"/>
            <w:hideMark/>
          </w:tcPr>
          <w:p w:rsidR="00D4741C" w:rsidRPr="00BA73B9" w:rsidRDefault="00D4741C" w:rsidP="00F11D00">
            <w:pPr>
              <w:jc w:val="center"/>
              <w:rPr>
                <w:rFonts w:ascii="Arial" w:hAnsi="Arial" w:cs="Arial"/>
              </w:rPr>
            </w:pPr>
            <w:r w:rsidRPr="00BA73B9">
              <w:rPr>
                <w:rFonts w:ascii="Arial" w:hAnsi="Arial" w:cs="Arial"/>
              </w:rPr>
              <w:t xml:space="preserve">no </w:t>
            </w:r>
            <w:r>
              <w:rPr>
                <w:rFonts w:ascii="Arial" w:hAnsi="Arial" w:cs="Arial"/>
              </w:rPr>
              <w:t>MCL</w:t>
            </w:r>
          </w:p>
        </w:tc>
        <w:tc>
          <w:tcPr>
            <w:tcW w:w="3240" w:type="dxa"/>
            <w:shd w:val="clear" w:color="auto" w:fill="auto"/>
            <w:vAlign w:val="center"/>
            <w:hideMark/>
          </w:tcPr>
          <w:p w:rsidR="00D4741C" w:rsidRPr="00BA73B9" w:rsidRDefault="00D4741C" w:rsidP="00F11D00">
            <w:pPr>
              <w:rPr>
                <w:rFonts w:ascii="Arial" w:hAnsi="Arial" w:cs="Arial"/>
              </w:rPr>
            </w:pPr>
            <w:r w:rsidRPr="00BA73B9">
              <w:rPr>
                <w:rFonts w:ascii="Arial" w:hAnsi="Arial" w:cs="Arial"/>
              </w:rPr>
              <w:t>Naturally occurring; use of road salt</w:t>
            </w:r>
          </w:p>
        </w:tc>
      </w:tr>
      <w:tr w:rsidR="00D4741C" w:rsidRPr="00F9587A" w:rsidTr="00F11D00">
        <w:trPr>
          <w:trHeight w:val="435"/>
        </w:trPr>
        <w:tc>
          <w:tcPr>
            <w:tcW w:w="14240" w:type="dxa"/>
            <w:gridSpan w:val="12"/>
            <w:shd w:val="clear" w:color="auto" w:fill="auto"/>
            <w:vAlign w:val="bottom"/>
            <w:hideMark/>
          </w:tcPr>
          <w:p w:rsidR="00D4741C" w:rsidRPr="00F9587A" w:rsidRDefault="00D4741C" w:rsidP="00F11D00">
            <w:pPr>
              <w:widowControl/>
              <w:autoSpaceDE/>
              <w:autoSpaceDN/>
              <w:adjustRightInd/>
              <w:rPr>
                <w:rFonts w:ascii="Arial" w:hAnsi="Arial" w:cs="Arial"/>
                <w:szCs w:val="16"/>
              </w:rPr>
            </w:pPr>
            <w:r w:rsidRPr="00F9587A">
              <w:rPr>
                <w:rFonts w:ascii="Arial" w:hAnsi="Arial" w:cs="Arial"/>
                <w:szCs w:val="16"/>
              </w:rPr>
              <w:t xml:space="preserve">*Sodium:  Water containing more than 20 </w:t>
            </w:r>
            <w:r>
              <w:rPr>
                <w:rFonts w:ascii="Arial" w:hAnsi="Arial" w:cs="Arial"/>
                <w:szCs w:val="16"/>
              </w:rPr>
              <w:t>mg/L</w:t>
            </w:r>
            <w:r w:rsidRPr="00F9587A">
              <w:rPr>
                <w:rFonts w:ascii="Arial" w:hAnsi="Arial" w:cs="Arial"/>
                <w:szCs w:val="16"/>
              </w:rPr>
              <w:t xml:space="preserve"> of sodium should not be used for drinking by people on severely restricted sodium diets. Water containing more than 270 </w:t>
            </w:r>
            <w:r>
              <w:rPr>
                <w:rFonts w:ascii="Arial" w:hAnsi="Arial" w:cs="Arial"/>
                <w:szCs w:val="16"/>
              </w:rPr>
              <w:t>mg/L</w:t>
            </w:r>
            <w:r w:rsidRPr="00F9587A">
              <w:rPr>
                <w:rFonts w:ascii="Arial" w:hAnsi="Arial" w:cs="Arial"/>
                <w:szCs w:val="16"/>
              </w:rPr>
              <w:t xml:space="preserve"> of sodium should not be used for drinking by people on moderately restricted sodium diets.</w:t>
            </w:r>
            <w:r>
              <w:rPr>
                <w:rFonts w:ascii="Arial" w:hAnsi="Arial" w:cs="Arial"/>
                <w:szCs w:val="16"/>
              </w:rPr>
              <w:t xml:space="preserve"> Sodium can make high blood pressure worse.</w:t>
            </w:r>
          </w:p>
        </w:tc>
      </w:tr>
      <w:tr w:rsidR="009A7D8D" w:rsidRPr="00696700" w:rsidTr="00F11D00">
        <w:trPr>
          <w:trHeight w:val="675"/>
        </w:trPr>
        <w:tc>
          <w:tcPr>
            <w:tcW w:w="2713" w:type="dxa"/>
            <w:shd w:val="clear" w:color="auto" w:fill="auto"/>
            <w:vAlign w:val="center"/>
            <w:hideMark/>
          </w:tcPr>
          <w:p w:rsidR="009A7D8D" w:rsidRPr="00696700" w:rsidRDefault="009A7D8D" w:rsidP="00F11D00">
            <w:pPr>
              <w:widowControl/>
              <w:autoSpaceDE/>
              <w:autoSpaceDN/>
              <w:adjustRightInd/>
              <w:rPr>
                <w:rFonts w:ascii="Arial" w:hAnsi="Arial" w:cs="Arial"/>
                <w:b/>
                <w:bCs/>
              </w:rPr>
            </w:pPr>
            <w:r w:rsidRPr="00696700">
              <w:rPr>
                <w:rFonts w:ascii="Arial" w:hAnsi="Arial" w:cs="Arial"/>
                <w:b/>
                <w:bCs/>
              </w:rPr>
              <w:t>Total</w:t>
            </w:r>
            <w:r w:rsidRPr="00696700">
              <w:rPr>
                <w:rFonts w:ascii="Arial" w:hAnsi="Arial" w:cs="Arial"/>
                <w:b/>
                <w:bCs/>
              </w:rPr>
              <w:br/>
              <w:t>Organic Carbon (TOC)</w:t>
            </w:r>
            <w:r w:rsidRPr="00696700">
              <w:rPr>
                <w:rFonts w:ascii="Arial" w:hAnsi="Arial" w:cs="Arial"/>
                <w:b/>
                <w:bCs/>
              </w:rPr>
              <w:br/>
              <w:t>Source</w:t>
            </w:r>
          </w:p>
        </w:tc>
        <w:tc>
          <w:tcPr>
            <w:tcW w:w="997" w:type="dxa"/>
            <w:gridSpan w:val="2"/>
            <w:shd w:val="clear" w:color="auto" w:fill="auto"/>
            <w:noWrap/>
            <w:vAlign w:val="center"/>
            <w:hideMark/>
          </w:tcPr>
          <w:p w:rsidR="009A7D8D" w:rsidRPr="00696700" w:rsidRDefault="009A7D8D" w:rsidP="00F11D00">
            <w:pPr>
              <w:widowControl/>
              <w:autoSpaceDE/>
              <w:autoSpaceDN/>
              <w:adjustRightInd/>
              <w:jc w:val="center"/>
              <w:rPr>
                <w:rFonts w:ascii="Arial" w:hAnsi="Arial" w:cs="Arial"/>
              </w:rPr>
            </w:pPr>
            <w:r w:rsidRPr="00696700">
              <w:rPr>
                <w:rFonts w:ascii="Arial" w:hAnsi="Arial" w:cs="Arial"/>
              </w:rPr>
              <w:t>no</w:t>
            </w:r>
          </w:p>
        </w:tc>
        <w:tc>
          <w:tcPr>
            <w:tcW w:w="1260" w:type="dxa"/>
            <w:shd w:val="clear" w:color="auto" w:fill="auto"/>
            <w:vAlign w:val="center"/>
            <w:hideMark/>
          </w:tcPr>
          <w:p w:rsidR="009A7D8D" w:rsidRPr="00696700" w:rsidRDefault="009A7D8D" w:rsidP="00F11D00">
            <w:pPr>
              <w:widowControl/>
              <w:autoSpaceDE/>
              <w:autoSpaceDN/>
              <w:adjustRightInd/>
              <w:jc w:val="center"/>
              <w:rPr>
                <w:rFonts w:ascii="Arial" w:hAnsi="Arial" w:cs="Arial"/>
                <w:bCs/>
              </w:rPr>
            </w:pPr>
            <w:r w:rsidRPr="00696700">
              <w:rPr>
                <w:rFonts w:ascii="Arial" w:hAnsi="Arial" w:cs="Arial"/>
                <w:bCs/>
              </w:rPr>
              <w:t xml:space="preserve">In </w:t>
            </w:r>
            <w:r w:rsidR="003309C2">
              <w:rPr>
                <w:rFonts w:ascii="Arial" w:hAnsi="Arial" w:cs="Arial"/>
                <w:bCs/>
              </w:rPr>
              <w:t>2021</w:t>
            </w:r>
            <w:r w:rsidRPr="00696700">
              <w:rPr>
                <w:rFonts w:ascii="Arial" w:hAnsi="Arial" w:cs="Arial"/>
                <w:bCs/>
              </w:rPr>
              <w:t>: monthly</w:t>
            </w:r>
          </w:p>
        </w:tc>
        <w:tc>
          <w:tcPr>
            <w:tcW w:w="2250" w:type="dxa"/>
            <w:gridSpan w:val="3"/>
            <w:shd w:val="clear" w:color="auto" w:fill="auto"/>
            <w:vAlign w:val="center"/>
            <w:hideMark/>
          </w:tcPr>
          <w:p w:rsidR="009A7D8D" w:rsidRPr="00696700" w:rsidRDefault="003309C2" w:rsidP="00F11D00">
            <w:pPr>
              <w:widowControl/>
              <w:autoSpaceDE/>
              <w:autoSpaceDN/>
              <w:adjustRightInd/>
              <w:jc w:val="center"/>
              <w:rPr>
                <w:rFonts w:ascii="Arial" w:hAnsi="Arial" w:cs="Arial"/>
                <w:bCs/>
              </w:rPr>
            </w:pPr>
            <w:r>
              <w:rPr>
                <w:rFonts w:ascii="Arial" w:hAnsi="Arial" w:cs="Arial"/>
                <w:bCs/>
              </w:rPr>
              <w:t>High</w:t>
            </w:r>
            <w:r w:rsidR="00F11D00">
              <w:rPr>
                <w:rFonts w:ascii="Arial" w:hAnsi="Arial" w:cs="Arial"/>
                <w:bCs/>
              </w:rPr>
              <w:t xml:space="preserve"> </w:t>
            </w:r>
            <w:r>
              <w:rPr>
                <w:rFonts w:ascii="Arial" w:hAnsi="Arial" w:cs="Arial"/>
                <w:bCs/>
              </w:rPr>
              <w:t>5.0</w:t>
            </w:r>
            <w:r w:rsidR="009A7D8D" w:rsidRPr="00696700">
              <w:rPr>
                <w:rFonts w:ascii="Arial" w:hAnsi="Arial" w:cs="Arial"/>
                <w:bCs/>
              </w:rPr>
              <w:br/>
              <w:t xml:space="preserve">Low </w:t>
            </w:r>
            <w:r w:rsidR="009A7D8D">
              <w:rPr>
                <w:rFonts w:ascii="Arial" w:hAnsi="Arial" w:cs="Arial"/>
                <w:bCs/>
              </w:rPr>
              <w:t>1.7</w:t>
            </w:r>
            <w:r w:rsidR="009A7D8D" w:rsidRPr="00696700">
              <w:rPr>
                <w:rFonts w:ascii="Arial" w:hAnsi="Arial" w:cs="Arial"/>
                <w:bCs/>
              </w:rPr>
              <w:br/>
              <w:t>Average 3.</w:t>
            </w:r>
            <w:r>
              <w:rPr>
                <w:rFonts w:ascii="Arial" w:hAnsi="Arial" w:cs="Arial"/>
                <w:bCs/>
              </w:rPr>
              <w:t>3</w:t>
            </w:r>
          </w:p>
        </w:tc>
        <w:tc>
          <w:tcPr>
            <w:tcW w:w="1260" w:type="dxa"/>
            <w:gridSpan w:val="2"/>
            <w:shd w:val="clear" w:color="auto" w:fill="auto"/>
            <w:noWrap/>
            <w:vAlign w:val="center"/>
            <w:hideMark/>
          </w:tcPr>
          <w:p w:rsidR="009A7D8D" w:rsidRPr="00696700" w:rsidRDefault="009A7D8D" w:rsidP="00F11D00">
            <w:pPr>
              <w:widowControl/>
              <w:autoSpaceDE/>
              <w:autoSpaceDN/>
              <w:adjustRightInd/>
              <w:jc w:val="center"/>
              <w:rPr>
                <w:rFonts w:ascii="Arial" w:hAnsi="Arial" w:cs="Arial"/>
              </w:rPr>
            </w:pPr>
            <w:r w:rsidRPr="00696700">
              <w:rPr>
                <w:rFonts w:ascii="Arial" w:hAnsi="Arial" w:cs="Arial"/>
              </w:rPr>
              <w:t>ppm</w:t>
            </w:r>
          </w:p>
        </w:tc>
        <w:tc>
          <w:tcPr>
            <w:tcW w:w="1170" w:type="dxa"/>
            <w:shd w:val="clear" w:color="auto" w:fill="auto"/>
            <w:noWrap/>
            <w:vAlign w:val="center"/>
            <w:hideMark/>
          </w:tcPr>
          <w:p w:rsidR="009A7D8D" w:rsidRPr="00696700" w:rsidRDefault="009A7D8D" w:rsidP="00F11D00">
            <w:pPr>
              <w:widowControl/>
              <w:autoSpaceDE/>
              <w:autoSpaceDN/>
              <w:adjustRightInd/>
              <w:jc w:val="center"/>
              <w:rPr>
                <w:rFonts w:ascii="Arial" w:hAnsi="Arial" w:cs="Arial"/>
              </w:rPr>
            </w:pPr>
            <w:r w:rsidRPr="00696700">
              <w:rPr>
                <w:rFonts w:ascii="Arial" w:hAnsi="Arial" w:cs="Arial"/>
              </w:rPr>
              <w:t>n/a</w:t>
            </w:r>
          </w:p>
        </w:tc>
        <w:tc>
          <w:tcPr>
            <w:tcW w:w="1350" w:type="dxa"/>
            <w:shd w:val="clear" w:color="auto" w:fill="auto"/>
            <w:noWrap/>
            <w:vAlign w:val="center"/>
            <w:hideMark/>
          </w:tcPr>
          <w:p w:rsidR="009A7D8D" w:rsidRPr="00696700" w:rsidRDefault="009A7D8D" w:rsidP="00F11D00">
            <w:pPr>
              <w:widowControl/>
              <w:autoSpaceDE/>
              <w:autoSpaceDN/>
              <w:adjustRightInd/>
              <w:jc w:val="center"/>
              <w:rPr>
                <w:rFonts w:ascii="Arial" w:hAnsi="Arial" w:cs="Arial"/>
              </w:rPr>
            </w:pPr>
            <w:r w:rsidRPr="00696700">
              <w:rPr>
                <w:rFonts w:ascii="Arial" w:hAnsi="Arial" w:cs="Arial"/>
              </w:rPr>
              <w:t>n/a</w:t>
            </w:r>
          </w:p>
        </w:tc>
        <w:tc>
          <w:tcPr>
            <w:tcW w:w="3240" w:type="dxa"/>
            <w:vAlign w:val="center"/>
          </w:tcPr>
          <w:p w:rsidR="009A7D8D" w:rsidRPr="00696700" w:rsidRDefault="009A7D8D" w:rsidP="00F11D00">
            <w:pPr>
              <w:widowControl/>
              <w:autoSpaceDE/>
              <w:autoSpaceDN/>
              <w:adjustRightInd/>
              <w:rPr>
                <w:rFonts w:ascii="Arial" w:hAnsi="Arial" w:cs="Arial"/>
              </w:rPr>
            </w:pPr>
            <w:r w:rsidRPr="00FF0AC9">
              <w:rPr>
                <w:rFonts w:ascii="Arial" w:hAnsi="Arial" w:cs="Arial"/>
              </w:rPr>
              <w:t>Naturally occurring organic materials from decaying leaves &amp; plants</w:t>
            </w:r>
          </w:p>
        </w:tc>
      </w:tr>
      <w:tr w:rsidR="009A7D8D" w:rsidRPr="00696700" w:rsidTr="00F11D00">
        <w:trPr>
          <w:trHeight w:val="675"/>
        </w:trPr>
        <w:tc>
          <w:tcPr>
            <w:tcW w:w="2713" w:type="dxa"/>
            <w:tcBorders>
              <w:bottom w:val="single" w:sz="4" w:space="0" w:color="auto"/>
            </w:tcBorders>
            <w:shd w:val="clear" w:color="auto" w:fill="auto"/>
            <w:vAlign w:val="center"/>
            <w:hideMark/>
          </w:tcPr>
          <w:p w:rsidR="009A7D8D" w:rsidRPr="00696700" w:rsidRDefault="009A7D8D" w:rsidP="00F11D00">
            <w:pPr>
              <w:widowControl/>
              <w:autoSpaceDE/>
              <w:autoSpaceDN/>
              <w:adjustRightInd/>
              <w:rPr>
                <w:rFonts w:ascii="Arial" w:hAnsi="Arial" w:cs="Arial"/>
                <w:b/>
                <w:bCs/>
              </w:rPr>
            </w:pPr>
            <w:r w:rsidRPr="00696700">
              <w:rPr>
                <w:rFonts w:ascii="Arial" w:hAnsi="Arial" w:cs="Arial"/>
                <w:b/>
                <w:bCs/>
              </w:rPr>
              <w:t>Total</w:t>
            </w:r>
            <w:r w:rsidRPr="00696700">
              <w:rPr>
                <w:rFonts w:ascii="Arial" w:hAnsi="Arial" w:cs="Arial"/>
                <w:b/>
                <w:bCs/>
              </w:rPr>
              <w:br/>
              <w:t>Organic Carbon (TOC)</w:t>
            </w:r>
            <w:r w:rsidRPr="00696700">
              <w:rPr>
                <w:rFonts w:ascii="Arial" w:hAnsi="Arial" w:cs="Arial"/>
                <w:b/>
                <w:bCs/>
              </w:rPr>
              <w:br/>
              <w:t>Treated</w:t>
            </w:r>
          </w:p>
        </w:tc>
        <w:tc>
          <w:tcPr>
            <w:tcW w:w="997" w:type="dxa"/>
            <w:gridSpan w:val="2"/>
            <w:tcBorders>
              <w:bottom w:val="single" w:sz="4" w:space="0" w:color="auto"/>
            </w:tcBorders>
            <w:shd w:val="clear" w:color="auto" w:fill="auto"/>
            <w:noWrap/>
            <w:vAlign w:val="center"/>
            <w:hideMark/>
          </w:tcPr>
          <w:p w:rsidR="009A7D8D" w:rsidRPr="00696700" w:rsidRDefault="009A7D8D" w:rsidP="00F11D00">
            <w:pPr>
              <w:widowControl/>
              <w:autoSpaceDE/>
              <w:autoSpaceDN/>
              <w:adjustRightInd/>
              <w:jc w:val="center"/>
              <w:rPr>
                <w:rFonts w:ascii="Arial" w:hAnsi="Arial" w:cs="Arial"/>
              </w:rPr>
            </w:pPr>
            <w:r w:rsidRPr="00696700">
              <w:rPr>
                <w:rFonts w:ascii="Arial" w:hAnsi="Arial" w:cs="Arial"/>
              </w:rPr>
              <w:t>no</w:t>
            </w:r>
          </w:p>
        </w:tc>
        <w:tc>
          <w:tcPr>
            <w:tcW w:w="1260" w:type="dxa"/>
            <w:tcBorders>
              <w:bottom w:val="single" w:sz="4" w:space="0" w:color="auto"/>
            </w:tcBorders>
            <w:shd w:val="clear" w:color="auto" w:fill="auto"/>
            <w:vAlign w:val="center"/>
            <w:hideMark/>
          </w:tcPr>
          <w:p w:rsidR="009A7D8D" w:rsidRPr="00696700" w:rsidRDefault="009A7D8D" w:rsidP="00F11D00">
            <w:pPr>
              <w:widowControl/>
              <w:autoSpaceDE/>
              <w:autoSpaceDN/>
              <w:adjustRightInd/>
              <w:jc w:val="center"/>
              <w:rPr>
                <w:rFonts w:ascii="Arial" w:hAnsi="Arial" w:cs="Arial"/>
                <w:bCs/>
              </w:rPr>
            </w:pPr>
            <w:r w:rsidRPr="00696700">
              <w:rPr>
                <w:rFonts w:ascii="Arial" w:hAnsi="Arial" w:cs="Arial"/>
                <w:bCs/>
              </w:rPr>
              <w:t xml:space="preserve">In </w:t>
            </w:r>
            <w:r w:rsidR="003309C2">
              <w:rPr>
                <w:rFonts w:ascii="Arial" w:hAnsi="Arial" w:cs="Arial"/>
                <w:bCs/>
              </w:rPr>
              <w:t>2021</w:t>
            </w:r>
            <w:r w:rsidRPr="00696700">
              <w:rPr>
                <w:rFonts w:ascii="Arial" w:hAnsi="Arial" w:cs="Arial"/>
                <w:bCs/>
              </w:rPr>
              <w:t>: monthly</w:t>
            </w:r>
          </w:p>
        </w:tc>
        <w:tc>
          <w:tcPr>
            <w:tcW w:w="2250" w:type="dxa"/>
            <w:gridSpan w:val="3"/>
            <w:tcBorders>
              <w:bottom w:val="single" w:sz="4" w:space="0" w:color="auto"/>
            </w:tcBorders>
            <w:shd w:val="clear" w:color="auto" w:fill="auto"/>
            <w:vAlign w:val="center"/>
            <w:hideMark/>
          </w:tcPr>
          <w:p w:rsidR="009A7D8D" w:rsidRPr="00696700" w:rsidRDefault="009A7D8D" w:rsidP="00F11D00">
            <w:pPr>
              <w:widowControl/>
              <w:autoSpaceDE/>
              <w:autoSpaceDN/>
              <w:adjustRightInd/>
              <w:jc w:val="center"/>
              <w:rPr>
                <w:rFonts w:ascii="Arial" w:hAnsi="Arial" w:cs="Arial"/>
                <w:bCs/>
              </w:rPr>
            </w:pPr>
            <w:r w:rsidRPr="00696700">
              <w:rPr>
                <w:rFonts w:ascii="Arial" w:hAnsi="Arial" w:cs="Arial"/>
                <w:bCs/>
              </w:rPr>
              <w:t xml:space="preserve">High </w:t>
            </w:r>
            <w:r w:rsidR="003309C2">
              <w:rPr>
                <w:rFonts w:ascii="Arial" w:hAnsi="Arial" w:cs="Arial"/>
                <w:bCs/>
              </w:rPr>
              <w:t>4.0</w:t>
            </w:r>
            <w:r w:rsidRPr="00696700">
              <w:rPr>
                <w:rFonts w:ascii="Arial" w:hAnsi="Arial" w:cs="Arial"/>
                <w:bCs/>
              </w:rPr>
              <w:br/>
              <w:t>Low 1.</w:t>
            </w:r>
            <w:r w:rsidR="003309C2">
              <w:rPr>
                <w:rFonts w:ascii="Arial" w:hAnsi="Arial" w:cs="Arial"/>
                <w:bCs/>
              </w:rPr>
              <w:t>3</w:t>
            </w:r>
            <w:r w:rsidRPr="00696700">
              <w:rPr>
                <w:rFonts w:ascii="Arial" w:hAnsi="Arial" w:cs="Arial"/>
                <w:bCs/>
              </w:rPr>
              <w:br/>
              <w:t>Average 2.</w:t>
            </w:r>
            <w:r w:rsidR="003309C2">
              <w:rPr>
                <w:rFonts w:ascii="Arial" w:hAnsi="Arial" w:cs="Arial"/>
                <w:bCs/>
              </w:rPr>
              <w:t>7</w:t>
            </w:r>
          </w:p>
        </w:tc>
        <w:tc>
          <w:tcPr>
            <w:tcW w:w="1260" w:type="dxa"/>
            <w:gridSpan w:val="2"/>
            <w:tcBorders>
              <w:bottom w:val="single" w:sz="4" w:space="0" w:color="auto"/>
            </w:tcBorders>
            <w:shd w:val="clear" w:color="auto" w:fill="auto"/>
            <w:noWrap/>
            <w:vAlign w:val="center"/>
            <w:hideMark/>
          </w:tcPr>
          <w:p w:rsidR="009A7D8D" w:rsidRPr="00696700" w:rsidRDefault="009A7D8D" w:rsidP="00F11D00">
            <w:pPr>
              <w:widowControl/>
              <w:autoSpaceDE/>
              <w:autoSpaceDN/>
              <w:adjustRightInd/>
              <w:jc w:val="center"/>
              <w:rPr>
                <w:rFonts w:ascii="Arial" w:hAnsi="Arial" w:cs="Arial"/>
              </w:rPr>
            </w:pPr>
            <w:r w:rsidRPr="00696700">
              <w:rPr>
                <w:rFonts w:ascii="Arial" w:hAnsi="Arial" w:cs="Arial"/>
              </w:rPr>
              <w:t>ppm</w:t>
            </w:r>
          </w:p>
        </w:tc>
        <w:tc>
          <w:tcPr>
            <w:tcW w:w="1170" w:type="dxa"/>
            <w:tcBorders>
              <w:bottom w:val="single" w:sz="4" w:space="0" w:color="auto"/>
            </w:tcBorders>
            <w:shd w:val="clear" w:color="auto" w:fill="auto"/>
            <w:noWrap/>
            <w:vAlign w:val="center"/>
            <w:hideMark/>
          </w:tcPr>
          <w:p w:rsidR="009A7D8D" w:rsidRPr="00696700" w:rsidRDefault="009A7D8D" w:rsidP="00F11D00">
            <w:pPr>
              <w:widowControl/>
              <w:autoSpaceDE/>
              <w:autoSpaceDN/>
              <w:adjustRightInd/>
              <w:jc w:val="center"/>
              <w:rPr>
                <w:rFonts w:ascii="Arial" w:hAnsi="Arial" w:cs="Arial"/>
              </w:rPr>
            </w:pPr>
            <w:r w:rsidRPr="00696700">
              <w:rPr>
                <w:rFonts w:ascii="Arial" w:hAnsi="Arial" w:cs="Arial"/>
              </w:rPr>
              <w:t>TT</w:t>
            </w:r>
          </w:p>
        </w:tc>
        <w:tc>
          <w:tcPr>
            <w:tcW w:w="1350" w:type="dxa"/>
            <w:tcBorders>
              <w:bottom w:val="single" w:sz="4" w:space="0" w:color="auto"/>
            </w:tcBorders>
            <w:shd w:val="clear" w:color="auto" w:fill="auto"/>
            <w:noWrap/>
            <w:vAlign w:val="center"/>
            <w:hideMark/>
          </w:tcPr>
          <w:p w:rsidR="009A7D8D" w:rsidRPr="00696700" w:rsidRDefault="009A7D8D" w:rsidP="00F11D00">
            <w:pPr>
              <w:widowControl/>
              <w:autoSpaceDE/>
              <w:autoSpaceDN/>
              <w:adjustRightInd/>
              <w:jc w:val="center"/>
              <w:rPr>
                <w:rFonts w:ascii="Arial" w:hAnsi="Arial" w:cs="Arial"/>
              </w:rPr>
            </w:pPr>
            <w:r w:rsidRPr="00696700">
              <w:rPr>
                <w:rFonts w:ascii="Arial" w:hAnsi="Arial" w:cs="Arial"/>
              </w:rPr>
              <w:t>TT</w:t>
            </w:r>
          </w:p>
        </w:tc>
        <w:tc>
          <w:tcPr>
            <w:tcW w:w="3240" w:type="dxa"/>
            <w:tcBorders>
              <w:bottom w:val="single" w:sz="4" w:space="0" w:color="auto"/>
            </w:tcBorders>
            <w:vAlign w:val="center"/>
          </w:tcPr>
          <w:p w:rsidR="009A7D8D" w:rsidRPr="00696700" w:rsidRDefault="009A7D8D" w:rsidP="00F11D00">
            <w:pPr>
              <w:widowControl/>
              <w:autoSpaceDE/>
              <w:autoSpaceDN/>
              <w:adjustRightInd/>
              <w:rPr>
                <w:rFonts w:ascii="Arial" w:hAnsi="Arial" w:cs="Arial"/>
              </w:rPr>
            </w:pPr>
            <w:r w:rsidRPr="00FF0AC9">
              <w:rPr>
                <w:rFonts w:ascii="Arial" w:hAnsi="Arial" w:cs="Arial"/>
              </w:rPr>
              <w:t xml:space="preserve">Source same as above, treated samples measure the effectiveness of </w:t>
            </w:r>
            <w:r>
              <w:rPr>
                <w:rFonts w:ascii="Arial" w:hAnsi="Arial" w:cs="Arial"/>
              </w:rPr>
              <w:t>the</w:t>
            </w:r>
            <w:r w:rsidRPr="00FF0AC9">
              <w:rPr>
                <w:rFonts w:ascii="Arial" w:hAnsi="Arial" w:cs="Arial"/>
              </w:rPr>
              <w:t xml:space="preserve"> water treatment process</w:t>
            </w:r>
          </w:p>
        </w:tc>
      </w:tr>
      <w:tr w:rsidR="00D4741C" w:rsidRPr="00F9587A" w:rsidTr="00F11D00">
        <w:trPr>
          <w:trHeight w:val="660"/>
        </w:trPr>
        <w:tc>
          <w:tcPr>
            <w:tcW w:w="2720" w:type="dxa"/>
            <w:gridSpan w:val="2"/>
            <w:shd w:val="clear" w:color="auto" w:fill="auto"/>
            <w:noWrap/>
            <w:vAlign w:val="center"/>
          </w:tcPr>
          <w:p w:rsidR="00D4741C" w:rsidRPr="00F9587A" w:rsidRDefault="00D4741C" w:rsidP="00F11D00">
            <w:pPr>
              <w:widowControl/>
              <w:autoSpaceDE/>
              <w:autoSpaceDN/>
              <w:adjustRightInd/>
              <w:rPr>
                <w:rFonts w:ascii="Arial" w:hAnsi="Arial" w:cs="Arial"/>
                <w:b/>
                <w:bCs/>
                <w:szCs w:val="16"/>
              </w:rPr>
            </w:pPr>
            <w:r w:rsidRPr="00F9587A">
              <w:rPr>
                <w:rFonts w:ascii="Arial" w:hAnsi="Arial" w:cs="Arial"/>
                <w:b/>
                <w:bCs/>
                <w:szCs w:val="16"/>
              </w:rPr>
              <w:t>*Turbidity after purification plant</w:t>
            </w:r>
          </w:p>
        </w:tc>
        <w:tc>
          <w:tcPr>
            <w:tcW w:w="990" w:type="dxa"/>
            <w:shd w:val="clear" w:color="auto" w:fill="auto"/>
            <w:noWrap/>
            <w:vAlign w:val="center"/>
          </w:tcPr>
          <w:p w:rsidR="00D4741C" w:rsidRPr="00F9587A" w:rsidRDefault="00D4741C" w:rsidP="00F11D00">
            <w:pPr>
              <w:widowControl/>
              <w:autoSpaceDE/>
              <w:autoSpaceDN/>
              <w:adjustRightInd/>
              <w:jc w:val="center"/>
              <w:rPr>
                <w:rFonts w:ascii="Arial" w:hAnsi="Arial" w:cs="Arial"/>
                <w:szCs w:val="16"/>
              </w:rPr>
            </w:pPr>
            <w:r w:rsidRPr="00F9587A">
              <w:rPr>
                <w:rFonts w:ascii="Arial" w:hAnsi="Arial" w:cs="Arial"/>
                <w:szCs w:val="16"/>
              </w:rPr>
              <w:t>no</w:t>
            </w:r>
          </w:p>
        </w:tc>
        <w:tc>
          <w:tcPr>
            <w:tcW w:w="1260" w:type="dxa"/>
            <w:shd w:val="clear" w:color="auto" w:fill="auto"/>
            <w:noWrap/>
            <w:vAlign w:val="center"/>
          </w:tcPr>
          <w:p w:rsidR="00D4741C" w:rsidRPr="00CC5226" w:rsidRDefault="00D4741C" w:rsidP="00F11D00">
            <w:pPr>
              <w:widowControl/>
              <w:autoSpaceDE/>
              <w:autoSpaceDN/>
              <w:adjustRightInd/>
              <w:jc w:val="center"/>
              <w:rPr>
                <w:rFonts w:ascii="Arial" w:hAnsi="Arial" w:cs="Arial"/>
                <w:bCs/>
                <w:szCs w:val="16"/>
              </w:rPr>
            </w:pPr>
            <w:r w:rsidRPr="00CC5226">
              <w:rPr>
                <w:rFonts w:ascii="Arial" w:hAnsi="Arial" w:cs="Arial"/>
                <w:bCs/>
                <w:szCs w:val="16"/>
              </w:rPr>
              <w:t xml:space="preserve">In </w:t>
            </w:r>
            <w:r w:rsidR="00F11D00">
              <w:rPr>
                <w:rFonts w:ascii="Arial" w:hAnsi="Arial" w:cs="Arial"/>
                <w:bCs/>
                <w:color w:val="FF0000"/>
                <w:szCs w:val="16"/>
              </w:rPr>
              <w:t>2021</w:t>
            </w:r>
            <w:r w:rsidRPr="00CC5226">
              <w:rPr>
                <w:rFonts w:ascii="Arial" w:hAnsi="Arial" w:cs="Arial"/>
                <w:bCs/>
                <w:szCs w:val="16"/>
              </w:rPr>
              <w:t>:</w:t>
            </w:r>
            <w:r w:rsidRPr="00CC5226">
              <w:rPr>
                <w:rFonts w:ascii="Arial" w:hAnsi="Arial" w:cs="Arial"/>
                <w:bCs/>
                <w:szCs w:val="16"/>
              </w:rPr>
              <w:br/>
              <w:t>every 4</w:t>
            </w:r>
            <w:r>
              <w:rPr>
                <w:rFonts w:ascii="Arial" w:hAnsi="Arial" w:cs="Arial"/>
                <w:bCs/>
                <w:szCs w:val="16"/>
              </w:rPr>
              <w:t xml:space="preserve"> </w:t>
            </w:r>
            <w:r w:rsidRPr="00CC5226">
              <w:rPr>
                <w:rFonts w:ascii="Arial" w:hAnsi="Arial" w:cs="Arial"/>
                <w:bCs/>
                <w:szCs w:val="16"/>
              </w:rPr>
              <w:t>hours</w:t>
            </w:r>
          </w:p>
        </w:tc>
        <w:tc>
          <w:tcPr>
            <w:tcW w:w="2239" w:type="dxa"/>
            <w:gridSpan w:val="2"/>
            <w:shd w:val="clear" w:color="auto" w:fill="auto"/>
            <w:noWrap/>
            <w:vAlign w:val="center"/>
          </w:tcPr>
          <w:p w:rsidR="00D4741C" w:rsidRPr="00CC5226" w:rsidRDefault="00D4741C" w:rsidP="00F11D00">
            <w:pPr>
              <w:widowControl/>
              <w:autoSpaceDE/>
              <w:autoSpaceDN/>
              <w:adjustRightInd/>
              <w:jc w:val="center"/>
              <w:rPr>
                <w:rFonts w:ascii="Arial" w:hAnsi="Arial" w:cs="Arial"/>
                <w:bCs/>
                <w:szCs w:val="16"/>
              </w:rPr>
            </w:pPr>
            <w:r w:rsidRPr="00CC5226">
              <w:rPr>
                <w:rFonts w:ascii="Arial" w:hAnsi="Arial" w:cs="Arial"/>
                <w:bCs/>
                <w:szCs w:val="16"/>
              </w:rPr>
              <w:t xml:space="preserve">100% of 2,190 results </w:t>
            </w:r>
            <w:r w:rsidRPr="00CC5226">
              <w:rPr>
                <w:rFonts w:ascii="Arial" w:hAnsi="Arial" w:cs="Arial"/>
                <w:bCs/>
                <w:szCs w:val="16"/>
              </w:rPr>
              <w:br/>
              <w:t>&lt; 0.3</w:t>
            </w:r>
          </w:p>
        </w:tc>
        <w:tc>
          <w:tcPr>
            <w:tcW w:w="1271" w:type="dxa"/>
            <w:gridSpan w:val="3"/>
            <w:shd w:val="clear" w:color="auto" w:fill="auto"/>
            <w:noWrap/>
            <w:vAlign w:val="center"/>
          </w:tcPr>
          <w:p w:rsidR="00D4741C" w:rsidRPr="00F9587A" w:rsidRDefault="00D4741C" w:rsidP="00F11D00">
            <w:pPr>
              <w:widowControl/>
              <w:autoSpaceDE/>
              <w:autoSpaceDN/>
              <w:adjustRightInd/>
              <w:jc w:val="center"/>
              <w:rPr>
                <w:rFonts w:ascii="Arial" w:hAnsi="Arial" w:cs="Arial"/>
                <w:szCs w:val="16"/>
              </w:rPr>
            </w:pPr>
            <w:proofErr w:type="spellStart"/>
            <w:r w:rsidRPr="00F9587A">
              <w:rPr>
                <w:rFonts w:ascii="Arial" w:hAnsi="Arial" w:cs="Arial"/>
                <w:szCs w:val="16"/>
              </w:rPr>
              <w:t>ntu</w:t>
            </w:r>
            <w:proofErr w:type="spellEnd"/>
          </w:p>
        </w:tc>
        <w:tc>
          <w:tcPr>
            <w:tcW w:w="1170" w:type="dxa"/>
            <w:shd w:val="clear" w:color="auto" w:fill="auto"/>
            <w:noWrap/>
            <w:vAlign w:val="center"/>
          </w:tcPr>
          <w:p w:rsidR="00D4741C" w:rsidRPr="00F9587A" w:rsidRDefault="00D4741C" w:rsidP="00F11D00">
            <w:pPr>
              <w:widowControl/>
              <w:autoSpaceDE/>
              <w:autoSpaceDN/>
              <w:adjustRightInd/>
              <w:jc w:val="center"/>
              <w:rPr>
                <w:rFonts w:ascii="Arial" w:hAnsi="Arial" w:cs="Arial"/>
                <w:szCs w:val="16"/>
              </w:rPr>
            </w:pPr>
            <w:r w:rsidRPr="00F9587A">
              <w:rPr>
                <w:rFonts w:ascii="Arial" w:hAnsi="Arial" w:cs="Arial"/>
                <w:szCs w:val="16"/>
              </w:rPr>
              <w:t>n/a</w:t>
            </w:r>
          </w:p>
        </w:tc>
        <w:tc>
          <w:tcPr>
            <w:tcW w:w="1350" w:type="dxa"/>
            <w:shd w:val="clear" w:color="auto" w:fill="auto"/>
            <w:vAlign w:val="center"/>
          </w:tcPr>
          <w:p w:rsidR="00D4741C" w:rsidRPr="00F9587A" w:rsidRDefault="00D4741C" w:rsidP="00F11D00">
            <w:pPr>
              <w:widowControl/>
              <w:autoSpaceDE/>
              <w:autoSpaceDN/>
              <w:adjustRightInd/>
              <w:jc w:val="center"/>
              <w:rPr>
                <w:rFonts w:ascii="Arial" w:hAnsi="Arial" w:cs="Arial"/>
                <w:szCs w:val="16"/>
              </w:rPr>
            </w:pPr>
            <w:r w:rsidRPr="00F9587A">
              <w:rPr>
                <w:rFonts w:ascii="Arial" w:hAnsi="Arial" w:cs="Arial"/>
                <w:szCs w:val="16"/>
              </w:rPr>
              <w:t>TT=0.3</w:t>
            </w:r>
          </w:p>
        </w:tc>
        <w:tc>
          <w:tcPr>
            <w:tcW w:w="3240" w:type="dxa"/>
            <w:shd w:val="clear" w:color="auto" w:fill="auto"/>
            <w:vAlign w:val="center"/>
          </w:tcPr>
          <w:p w:rsidR="00D4741C" w:rsidRPr="00F9587A" w:rsidRDefault="00D4741C" w:rsidP="00F11D00">
            <w:pPr>
              <w:widowControl/>
              <w:autoSpaceDE/>
              <w:autoSpaceDN/>
              <w:adjustRightInd/>
              <w:rPr>
                <w:rFonts w:ascii="Arial" w:hAnsi="Arial" w:cs="Arial"/>
                <w:szCs w:val="16"/>
              </w:rPr>
            </w:pPr>
            <w:r w:rsidRPr="00F9587A">
              <w:rPr>
                <w:rFonts w:ascii="Arial" w:hAnsi="Arial" w:cs="Arial"/>
                <w:szCs w:val="16"/>
              </w:rPr>
              <w:t>Soil runoff</w:t>
            </w:r>
          </w:p>
        </w:tc>
      </w:tr>
      <w:tr w:rsidR="00D4741C" w:rsidRPr="00F9587A" w:rsidTr="00F11D00">
        <w:trPr>
          <w:trHeight w:val="395"/>
        </w:trPr>
        <w:tc>
          <w:tcPr>
            <w:tcW w:w="14240" w:type="dxa"/>
            <w:gridSpan w:val="12"/>
            <w:shd w:val="clear" w:color="auto" w:fill="auto"/>
            <w:vAlign w:val="center"/>
          </w:tcPr>
          <w:p w:rsidR="00D4741C" w:rsidRPr="00F9587A" w:rsidRDefault="00D4741C" w:rsidP="00F11D00">
            <w:pPr>
              <w:widowControl/>
              <w:autoSpaceDE/>
              <w:autoSpaceDN/>
              <w:adjustRightInd/>
              <w:rPr>
                <w:rFonts w:ascii="Arial" w:hAnsi="Arial" w:cs="Arial"/>
                <w:szCs w:val="16"/>
              </w:rPr>
            </w:pPr>
            <w:r w:rsidRPr="00F9587A">
              <w:rPr>
                <w:rFonts w:ascii="Arial" w:hAnsi="Arial" w:cs="Arial"/>
                <w:szCs w:val="16"/>
              </w:rPr>
              <w:t xml:space="preserve">*Turbidity is a measure of the cloudiness of the water. We monitor it because it is a good indicator of the effectiveness of our filtration system. </w:t>
            </w:r>
          </w:p>
        </w:tc>
      </w:tr>
      <w:tr w:rsidR="00D4741C" w:rsidRPr="00DB351B" w:rsidTr="00F11D00">
        <w:trPr>
          <w:trHeight w:val="431"/>
        </w:trPr>
        <w:tc>
          <w:tcPr>
            <w:tcW w:w="14240" w:type="dxa"/>
            <w:gridSpan w:val="12"/>
            <w:shd w:val="clear" w:color="auto" w:fill="auto"/>
            <w:vAlign w:val="bottom"/>
          </w:tcPr>
          <w:p w:rsidR="00D4741C" w:rsidRPr="00DB351B" w:rsidRDefault="00D4741C" w:rsidP="00F11D00">
            <w:pPr>
              <w:widowControl/>
              <w:autoSpaceDE/>
              <w:autoSpaceDN/>
              <w:adjustRightInd/>
              <w:rPr>
                <w:rFonts w:ascii="Arial" w:hAnsi="Arial" w:cs="Arial"/>
                <w:b/>
                <w:szCs w:val="16"/>
              </w:rPr>
            </w:pPr>
            <w:r>
              <w:rPr>
                <w:rFonts w:ascii="Arial" w:hAnsi="Arial" w:cs="Arial"/>
                <w:b/>
                <w:szCs w:val="16"/>
              </w:rPr>
              <w:t>Detected c</w:t>
            </w:r>
            <w:r w:rsidRPr="00DB351B">
              <w:rPr>
                <w:rFonts w:ascii="Arial" w:hAnsi="Arial" w:cs="Arial"/>
                <w:b/>
                <w:szCs w:val="16"/>
              </w:rPr>
              <w:t xml:space="preserve">ontaminants </w:t>
            </w:r>
            <w:r>
              <w:rPr>
                <w:rFonts w:ascii="Arial" w:hAnsi="Arial" w:cs="Arial"/>
                <w:b/>
                <w:szCs w:val="16"/>
              </w:rPr>
              <w:t>in</w:t>
            </w:r>
            <w:r w:rsidRPr="00DB351B">
              <w:rPr>
                <w:rFonts w:ascii="Arial" w:hAnsi="Arial" w:cs="Arial"/>
                <w:b/>
                <w:szCs w:val="16"/>
              </w:rPr>
              <w:t xml:space="preserve"> Village of Wellsburg</w:t>
            </w:r>
            <w:r>
              <w:rPr>
                <w:rFonts w:ascii="Arial" w:hAnsi="Arial" w:cs="Arial"/>
                <w:b/>
                <w:szCs w:val="16"/>
              </w:rPr>
              <w:t xml:space="preserve"> testing</w:t>
            </w:r>
            <w:r w:rsidR="00EB1E9A">
              <w:rPr>
                <w:rFonts w:ascii="Arial" w:hAnsi="Arial" w:cs="Arial"/>
                <w:b/>
                <w:szCs w:val="16"/>
              </w:rPr>
              <w:t xml:space="preserve"> </w:t>
            </w:r>
          </w:p>
        </w:tc>
      </w:tr>
      <w:tr w:rsidR="00D4741C" w:rsidRPr="00F9587A" w:rsidTr="00F11D00">
        <w:trPr>
          <w:trHeight w:val="1155"/>
        </w:trPr>
        <w:tc>
          <w:tcPr>
            <w:tcW w:w="2720" w:type="dxa"/>
            <w:gridSpan w:val="2"/>
            <w:shd w:val="clear" w:color="auto" w:fill="auto"/>
            <w:vAlign w:val="center"/>
            <w:hideMark/>
          </w:tcPr>
          <w:p w:rsidR="00D4741C" w:rsidRPr="00F9587A" w:rsidRDefault="00D4741C" w:rsidP="00F11D00">
            <w:pPr>
              <w:widowControl/>
              <w:autoSpaceDE/>
              <w:autoSpaceDN/>
              <w:adjustRightInd/>
              <w:rPr>
                <w:rFonts w:ascii="Arial" w:hAnsi="Arial" w:cs="Arial"/>
                <w:b/>
                <w:bCs/>
                <w:szCs w:val="16"/>
              </w:rPr>
            </w:pPr>
            <w:r w:rsidRPr="00F9587A">
              <w:rPr>
                <w:rFonts w:ascii="Arial" w:hAnsi="Arial" w:cs="Arial"/>
                <w:b/>
                <w:bCs/>
                <w:szCs w:val="16"/>
              </w:rPr>
              <w:t>Total Trihalomethane</w:t>
            </w:r>
            <w:r>
              <w:rPr>
                <w:rFonts w:ascii="Arial" w:hAnsi="Arial" w:cs="Arial"/>
                <w:b/>
                <w:bCs/>
                <w:szCs w:val="16"/>
              </w:rPr>
              <w:t>s</w:t>
            </w:r>
            <w:r w:rsidRPr="00F9587A">
              <w:rPr>
                <w:rFonts w:ascii="Arial" w:hAnsi="Arial" w:cs="Arial"/>
                <w:b/>
                <w:bCs/>
                <w:szCs w:val="16"/>
              </w:rPr>
              <w:t xml:space="preserve"> (TTHM)</w:t>
            </w:r>
          </w:p>
        </w:tc>
        <w:tc>
          <w:tcPr>
            <w:tcW w:w="990" w:type="dxa"/>
            <w:shd w:val="clear" w:color="auto" w:fill="auto"/>
            <w:noWrap/>
            <w:vAlign w:val="center"/>
            <w:hideMark/>
          </w:tcPr>
          <w:p w:rsidR="00D4741C" w:rsidRPr="00F9587A" w:rsidRDefault="00D4741C" w:rsidP="00F11D00">
            <w:pPr>
              <w:widowControl/>
              <w:autoSpaceDE/>
              <w:autoSpaceDN/>
              <w:adjustRightInd/>
              <w:jc w:val="center"/>
              <w:rPr>
                <w:rFonts w:ascii="Arial" w:hAnsi="Arial" w:cs="Arial"/>
                <w:szCs w:val="16"/>
              </w:rPr>
            </w:pPr>
            <w:r w:rsidRPr="00F9587A">
              <w:rPr>
                <w:rFonts w:ascii="Arial" w:hAnsi="Arial" w:cs="Arial"/>
                <w:szCs w:val="16"/>
              </w:rPr>
              <w:t>no</w:t>
            </w:r>
          </w:p>
        </w:tc>
        <w:tc>
          <w:tcPr>
            <w:tcW w:w="1260" w:type="dxa"/>
            <w:shd w:val="clear" w:color="auto" w:fill="auto"/>
            <w:vAlign w:val="center"/>
            <w:hideMark/>
          </w:tcPr>
          <w:p w:rsidR="00D4741C" w:rsidRPr="00CC5226" w:rsidRDefault="00D4741C" w:rsidP="00F11D00">
            <w:pPr>
              <w:widowControl/>
              <w:autoSpaceDE/>
              <w:autoSpaceDN/>
              <w:adjustRightInd/>
              <w:jc w:val="center"/>
              <w:rPr>
                <w:rFonts w:ascii="Arial" w:hAnsi="Arial" w:cs="Arial"/>
                <w:bCs/>
                <w:szCs w:val="16"/>
              </w:rPr>
            </w:pPr>
            <w:r w:rsidRPr="00CC5226">
              <w:rPr>
                <w:rFonts w:ascii="Arial" w:hAnsi="Arial" w:cs="Arial"/>
                <w:bCs/>
                <w:szCs w:val="16"/>
              </w:rPr>
              <w:t xml:space="preserve">In </w:t>
            </w:r>
            <w:r>
              <w:rPr>
                <w:rFonts w:ascii="Arial" w:hAnsi="Arial" w:cs="Arial"/>
                <w:bCs/>
                <w:szCs w:val="16"/>
              </w:rPr>
              <w:t>20</w:t>
            </w:r>
            <w:r w:rsidR="00187E62">
              <w:rPr>
                <w:rFonts w:ascii="Arial" w:hAnsi="Arial" w:cs="Arial"/>
                <w:bCs/>
                <w:szCs w:val="16"/>
              </w:rPr>
              <w:t>21</w:t>
            </w:r>
            <w:r w:rsidRPr="00CC5226">
              <w:rPr>
                <w:rFonts w:ascii="Arial" w:hAnsi="Arial" w:cs="Arial"/>
                <w:bCs/>
                <w:szCs w:val="16"/>
              </w:rPr>
              <w:t>:</w:t>
            </w:r>
          </w:p>
          <w:p w:rsidR="00D4741C" w:rsidRPr="00CC5226" w:rsidRDefault="00D4741C" w:rsidP="00F11D00">
            <w:pPr>
              <w:widowControl/>
              <w:autoSpaceDE/>
              <w:autoSpaceDN/>
              <w:adjustRightInd/>
              <w:jc w:val="center"/>
              <w:rPr>
                <w:rFonts w:ascii="Arial" w:hAnsi="Arial" w:cs="Arial"/>
                <w:bCs/>
                <w:szCs w:val="16"/>
              </w:rPr>
            </w:pPr>
            <w:r w:rsidRPr="00CC5226">
              <w:rPr>
                <w:rFonts w:ascii="Arial" w:hAnsi="Arial" w:cs="Arial"/>
                <w:bCs/>
                <w:szCs w:val="16"/>
              </w:rPr>
              <w:t>2/</w:t>
            </w:r>
            <w:r w:rsidR="00187E62">
              <w:rPr>
                <w:rFonts w:ascii="Arial" w:hAnsi="Arial" w:cs="Arial"/>
                <w:bCs/>
                <w:szCs w:val="16"/>
              </w:rPr>
              <w:t>23</w:t>
            </w:r>
            <w:r w:rsidRPr="00CC5226">
              <w:rPr>
                <w:rFonts w:ascii="Arial" w:hAnsi="Arial" w:cs="Arial"/>
                <w:bCs/>
                <w:szCs w:val="16"/>
              </w:rPr>
              <w:t xml:space="preserve"> 5/</w:t>
            </w:r>
            <w:r w:rsidR="00187E62">
              <w:rPr>
                <w:rFonts w:ascii="Arial" w:hAnsi="Arial" w:cs="Arial"/>
                <w:bCs/>
                <w:szCs w:val="16"/>
              </w:rPr>
              <w:t>21</w:t>
            </w:r>
            <w:r>
              <w:rPr>
                <w:rFonts w:ascii="Arial" w:hAnsi="Arial" w:cs="Arial"/>
                <w:bCs/>
                <w:szCs w:val="16"/>
              </w:rPr>
              <w:t>, 8/</w:t>
            </w:r>
            <w:r w:rsidR="00187E62">
              <w:rPr>
                <w:rFonts w:ascii="Arial" w:hAnsi="Arial" w:cs="Arial"/>
                <w:bCs/>
                <w:szCs w:val="16"/>
              </w:rPr>
              <w:t>12</w:t>
            </w:r>
            <w:r w:rsidRPr="00CC5226">
              <w:rPr>
                <w:rFonts w:ascii="Arial" w:hAnsi="Arial" w:cs="Arial"/>
                <w:bCs/>
                <w:szCs w:val="16"/>
              </w:rPr>
              <w:t>, 11/</w:t>
            </w:r>
            <w:r w:rsidR="001678B4">
              <w:rPr>
                <w:rFonts w:ascii="Arial" w:hAnsi="Arial" w:cs="Arial"/>
                <w:bCs/>
                <w:szCs w:val="16"/>
              </w:rPr>
              <w:t>1</w:t>
            </w:r>
            <w:r w:rsidR="00187E62">
              <w:rPr>
                <w:rFonts w:ascii="Arial" w:hAnsi="Arial" w:cs="Arial"/>
                <w:bCs/>
                <w:szCs w:val="16"/>
              </w:rPr>
              <w:t>9</w:t>
            </w:r>
          </w:p>
        </w:tc>
        <w:tc>
          <w:tcPr>
            <w:tcW w:w="1116" w:type="dxa"/>
            <w:shd w:val="clear" w:color="auto" w:fill="auto"/>
            <w:vAlign w:val="center"/>
            <w:hideMark/>
          </w:tcPr>
          <w:p w:rsidR="001678B4" w:rsidRDefault="00D4741C" w:rsidP="00F11D00">
            <w:pPr>
              <w:widowControl/>
              <w:autoSpaceDE/>
              <w:autoSpaceDN/>
              <w:adjustRightInd/>
              <w:jc w:val="center"/>
              <w:rPr>
                <w:rFonts w:ascii="Arial" w:hAnsi="Arial" w:cs="Arial"/>
                <w:bCs/>
                <w:szCs w:val="16"/>
              </w:rPr>
            </w:pPr>
            <w:r w:rsidRPr="00CC5226">
              <w:rPr>
                <w:rFonts w:ascii="Arial" w:hAnsi="Arial" w:cs="Arial"/>
                <w:bCs/>
                <w:szCs w:val="16"/>
              </w:rPr>
              <w:t>Quarterly Samples</w:t>
            </w:r>
            <w:r w:rsidRPr="00CC5226">
              <w:rPr>
                <w:rFonts w:ascii="Arial" w:hAnsi="Arial" w:cs="Arial"/>
                <w:bCs/>
                <w:szCs w:val="16"/>
              </w:rPr>
              <w:br/>
            </w:r>
            <w:r>
              <w:rPr>
                <w:rFonts w:ascii="Arial" w:hAnsi="Arial" w:cs="Arial"/>
                <w:bCs/>
                <w:szCs w:val="16"/>
              </w:rPr>
              <w:t xml:space="preserve">Range </w:t>
            </w:r>
          </w:p>
          <w:p w:rsidR="00D4741C" w:rsidRPr="00CC5226" w:rsidRDefault="00F11D00" w:rsidP="00F11D00">
            <w:pPr>
              <w:widowControl/>
              <w:autoSpaceDE/>
              <w:autoSpaceDN/>
              <w:adjustRightInd/>
              <w:jc w:val="center"/>
              <w:rPr>
                <w:rFonts w:ascii="Arial" w:hAnsi="Arial" w:cs="Arial"/>
                <w:bCs/>
                <w:szCs w:val="16"/>
              </w:rPr>
            </w:pPr>
            <w:r>
              <w:rPr>
                <w:rFonts w:ascii="Arial" w:hAnsi="Arial" w:cs="Arial"/>
                <w:bCs/>
                <w:color w:val="FF0000"/>
                <w:szCs w:val="16"/>
              </w:rPr>
              <w:t>37 - 83</w:t>
            </w:r>
          </w:p>
        </w:tc>
        <w:tc>
          <w:tcPr>
            <w:tcW w:w="1258" w:type="dxa"/>
            <w:gridSpan w:val="3"/>
            <w:shd w:val="clear" w:color="auto" w:fill="auto"/>
            <w:vAlign w:val="center"/>
            <w:hideMark/>
          </w:tcPr>
          <w:p w:rsidR="00D4741C" w:rsidRDefault="00D4741C" w:rsidP="00F11D00">
            <w:pPr>
              <w:widowControl/>
              <w:autoSpaceDE/>
              <w:autoSpaceDN/>
              <w:adjustRightInd/>
              <w:jc w:val="center"/>
              <w:rPr>
                <w:rFonts w:ascii="Arial" w:hAnsi="Arial" w:cs="Arial"/>
                <w:bCs/>
                <w:szCs w:val="16"/>
              </w:rPr>
            </w:pPr>
            <w:r>
              <w:rPr>
                <w:rFonts w:ascii="Arial" w:hAnsi="Arial" w:cs="Arial"/>
                <w:bCs/>
                <w:szCs w:val="16"/>
              </w:rPr>
              <w:t>Highest *LRAA</w:t>
            </w:r>
          </w:p>
          <w:p w:rsidR="00D4741C" w:rsidRPr="00CC5226" w:rsidRDefault="009B7DB1" w:rsidP="00F11D00">
            <w:pPr>
              <w:widowControl/>
              <w:autoSpaceDE/>
              <w:autoSpaceDN/>
              <w:adjustRightInd/>
              <w:jc w:val="center"/>
              <w:rPr>
                <w:rFonts w:ascii="Arial" w:hAnsi="Arial" w:cs="Arial"/>
                <w:bCs/>
                <w:szCs w:val="16"/>
              </w:rPr>
            </w:pPr>
            <w:r>
              <w:rPr>
                <w:rFonts w:ascii="Arial" w:hAnsi="Arial" w:cs="Arial"/>
                <w:bCs/>
                <w:color w:val="FF0000"/>
                <w:szCs w:val="16"/>
              </w:rPr>
              <w:t>58</w:t>
            </w:r>
          </w:p>
        </w:tc>
        <w:tc>
          <w:tcPr>
            <w:tcW w:w="1136" w:type="dxa"/>
            <w:shd w:val="clear" w:color="auto" w:fill="auto"/>
            <w:noWrap/>
            <w:vAlign w:val="center"/>
            <w:hideMark/>
          </w:tcPr>
          <w:p w:rsidR="00D4741C" w:rsidRPr="00F9587A" w:rsidRDefault="00D4741C" w:rsidP="00F11D00">
            <w:pPr>
              <w:widowControl/>
              <w:autoSpaceDE/>
              <w:autoSpaceDN/>
              <w:adjustRightInd/>
              <w:jc w:val="center"/>
              <w:rPr>
                <w:rFonts w:ascii="Arial" w:hAnsi="Arial" w:cs="Arial"/>
                <w:szCs w:val="16"/>
              </w:rPr>
            </w:pPr>
            <w:r>
              <w:rPr>
                <w:rFonts w:ascii="Arial" w:hAnsi="Arial" w:cs="Arial"/>
                <w:szCs w:val="16"/>
              </w:rPr>
              <w:t>ug/L</w:t>
            </w:r>
          </w:p>
        </w:tc>
        <w:tc>
          <w:tcPr>
            <w:tcW w:w="1170" w:type="dxa"/>
            <w:shd w:val="clear" w:color="auto" w:fill="auto"/>
            <w:noWrap/>
            <w:vAlign w:val="center"/>
            <w:hideMark/>
          </w:tcPr>
          <w:p w:rsidR="00D4741C" w:rsidRPr="00F9587A" w:rsidRDefault="00D4741C" w:rsidP="00F11D00">
            <w:pPr>
              <w:widowControl/>
              <w:autoSpaceDE/>
              <w:autoSpaceDN/>
              <w:adjustRightInd/>
              <w:jc w:val="center"/>
              <w:rPr>
                <w:rFonts w:ascii="Arial" w:hAnsi="Arial" w:cs="Arial"/>
                <w:szCs w:val="16"/>
              </w:rPr>
            </w:pPr>
            <w:r w:rsidRPr="00F9587A">
              <w:rPr>
                <w:rFonts w:ascii="Arial" w:hAnsi="Arial" w:cs="Arial"/>
                <w:szCs w:val="16"/>
              </w:rPr>
              <w:t>n/a</w:t>
            </w:r>
          </w:p>
        </w:tc>
        <w:tc>
          <w:tcPr>
            <w:tcW w:w="1350" w:type="dxa"/>
            <w:shd w:val="clear" w:color="auto" w:fill="auto"/>
            <w:vAlign w:val="center"/>
            <w:hideMark/>
          </w:tcPr>
          <w:p w:rsidR="00D4741C" w:rsidRPr="00F9587A" w:rsidRDefault="00D4741C" w:rsidP="00F11D00">
            <w:pPr>
              <w:widowControl/>
              <w:autoSpaceDE/>
              <w:autoSpaceDN/>
              <w:adjustRightInd/>
              <w:jc w:val="center"/>
              <w:rPr>
                <w:rFonts w:ascii="Arial" w:hAnsi="Arial" w:cs="Arial"/>
                <w:szCs w:val="16"/>
              </w:rPr>
            </w:pPr>
            <w:r w:rsidRPr="00F9587A">
              <w:rPr>
                <w:rFonts w:ascii="Arial" w:hAnsi="Arial" w:cs="Arial"/>
                <w:szCs w:val="16"/>
              </w:rPr>
              <w:t>*LRAA</w:t>
            </w:r>
            <w:r w:rsidRPr="00F9587A">
              <w:rPr>
                <w:rFonts w:ascii="Arial" w:hAnsi="Arial" w:cs="Arial"/>
                <w:szCs w:val="16"/>
              </w:rPr>
              <w:br/>
              <w:t>Quarterly</w:t>
            </w:r>
            <w:r w:rsidRPr="00F9587A">
              <w:rPr>
                <w:rFonts w:ascii="Arial" w:hAnsi="Arial" w:cs="Arial"/>
                <w:szCs w:val="16"/>
              </w:rPr>
              <w:br/>
              <w:t>Average</w:t>
            </w:r>
            <w:r w:rsidRPr="00F9587A">
              <w:rPr>
                <w:rFonts w:ascii="Arial" w:hAnsi="Arial" w:cs="Arial"/>
                <w:szCs w:val="16"/>
              </w:rPr>
              <w:br/>
              <w:t>80</w:t>
            </w:r>
          </w:p>
        </w:tc>
        <w:tc>
          <w:tcPr>
            <w:tcW w:w="3240" w:type="dxa"/>
            <w:vMerge w:val="restart"/>
            <w:shd w:val="clear" w:color="auto" w:fill="auto"/>
            <w:vAlign w:val="center"/>
            <w:hideMark/>
          </w:tcPr>
          <w:p w:rsidR="00D4741C" w:rsidRPr="00F9587A" w:rsidRDefault="00D4741C" w:rsidP="00F11D00">
            <w:pPr>
              <w:widowControl/>
              <w:autoSpaceDE/>
              <w:autoSpaceDN/>
              <w:adjustRightInd/>
              <w:rPr>
                <w:rFonts w:ascii="Arial" w:hAnsi="Arial" w:cs="Arial"/>
                <w:szCs w:val="16"/>
              </w:rPr>
            </w:pPr>
            <w:r w:rsidRPr="00F9587A">
              <w:rPr>
                <w:rFonts w:ascii="Arial" w:hAnsi="Arial" w:cs="Arial"/>
                <w:szCs w:val="16"/>
              </w:rPr>
              <w:t>By-product of drinking water chlorination needed to kill harmful organisms; formed when source water contains organic matter</w:t>
            </w:r>
          </w:p>
        </w:tc>
      </w:tr>
      <w:tr w:rsidR="001678B4" w:rsidRPr="00F9587A" w:rsidTr="00F11D00">
        <w:trPr>
          <w:trHeight w:val="1020"/>
        </w:trPr>
        <w:tc>
          <w:tcPr>
            <w:tcW w:w="2720" w:type="dxa"/>
            <w:gridSpan w:val="2"/>
            <w:shd w:val="clear" w:color="auto" w:fill="auto"/>
            <w:vAlign w:val="center"/>
            <w:hideMark/>
          </w:tcPr>
          <w:p w:rsidR="001678B4" w:rsidRPr="00F9587A" w:rsidRDefault="001678B4" w:rsidP="00F11D00">
            <w:pPr>
              <w:widowControl/>
              <w:autoSpaceDE/>
              <w:autoSpaceDN/>
              <w:adjustRightInd/>
              <w:rPr>
                <w:rFonts w:ascii="Arial" w:hAnsi="Arial" w:cs="Arial"/>
                <w:b/>
                <w:bCs/>
                <w:szCs w:val="16"/>
              </w:rPr>
            </w:pPr>
            <w:proofErr w:type="spellStart"/>
            <w:r w:rsidRPr="00F9587A">
              <w:rPr>
                <w:rFonts w:ascii="Arial" w:hAnsi="Arial" w:cs="Arial"/>
                <w:b/>
                <w:bCs/>
                <w:szCs w:val="16"/>
              </w:rPr>
              <w:t>Haloacetic</w:t>
            </w:r>
            <w:proofErr w:type="spellEnd"/>
            <w:r w:rsidRPr="00F9587A">
              <w:rPr>
                <w:rFonts w:ascii="Arial" w:hAnsi="Arial" w:cs="Arial"/>
                <w:b/>
                <w:bCs/>
                <w:szCs w:val="16"/>
              </w:rPr>
              <w:t xml:space="preserve"> Acids (HAA)</w:t>
            </w:r>
          </w:p>
        </w:tc>
        <w:tc>
          <w:tcPr>
            <w:tcW w:w="990" w:type="dxa"/>
            <w:shd w:val="clear" w:color="auto" w:fill="auto"/>
            <w:noWrap/>
            <w:vAlign w:val="center"/>
            <w:hideMark/>
          </w:tcPr>
          <w:p w:rsidR="001678B4" w:rsidRPr="00F9587A" w:rsidRDefault="001678B4" w:rsidP="00F11D00">
            <w:pPr>
              <w:widowControl/>
              <w:autoSpaceDE/>
              <w:autoSpaceDN/>
              <w:adjustRightInd/>
              <w:jc w:val="center"/>
              <w:rPr>
                <w:rFonts w:ascii="Arial" w:hAnsi="Arial" w:cs="Arial"/>
                <w:szCs w:val="16"/>
              </w:rPr>
            </w:pPr>
            <w:r w:rsidRPr="00F9587A">
              <w:rPr>
                <w:rFonts w:ascii="Arial" w:hAnsi="Arial" w:cs="Arial"/>
                <w:szCs w:val="16"/>
              </w:rPr>
              <w:t>no</w:t>
            </w:r>
          </w:p>
        </w:tc>
        <w:tc>
          <w:tcPr>
            <w:tcW w:w="1260" w:type="dxa"/>
            <w:shd w:val="clear" w:color="auto" w:fill="auto"/>
            <w:vAlign w:val="center"/>
            <w:hideMark/>
          </w:tcPr>
          <w:p w:rsidR="001678B4" w:rsidRPr="00CC5226" w:rsidRDefault="001678B4" w:rsidP="00F11D00">
            <w:pPr>
              <w:widowControl/>
              <w:autoSpaceDE/>
              <w:autoSpaceDN/>
              <w:adjustRightInd/>
              <w:jc w:val="center"/>
              <w:rPr>
                <w:rFonts w:ascii="Arial" w:hAnsi="Arial" w:cs="Arial"/>
                <w:bCs/>
                <w:szCs w:val="16"/>
              </w:rPr>
            </w:pPr>
            <w:r w:rsidRPr="00CC5226">
              <w:rPr>
                <w:rFonts w:ascii="Arial" w:hAnsi="Arial" w:cs="Arial"/>
                <w:bCs/>
                <w:szCs w:val="16"/>
              </w:rPr>
              <w:t xml:space="preserve">In </w:t>
            </w:r>
            <w:r w:rsidRPr="004122F7">
              <w:rPr>
                <w:rFonts w:ascii="Arial" w:hAnsi="Arial" w:cs="Arial"/>
                <w:bCs/>
                <w:color w:val="FF0000"/>
                <w:szCs w:val="16"/>
              </w:rPr>
              <w:t>202</w:t>
            </w:r>
            <w:r w:rsidR="004122F7" w:rsidRPr="004122F7">
              <w:rPr>
                <w:rFonts w:ascii="Arial" w:hAnsi="Arial" w:cs="Arial"/>
                <w:bCs/>
                <w:color w:val="FF0000"/>
                <w:szCs w:val="16"/>
              </w:rPr>
              <w:t>1</w:t>
            </w:r>
            <w:r w:rsidRPr="00CC5226">
              <w:rPr>
                <w:rFonts w:ascii="Arial" w:hAnsi="Arial" w:cs="Arial"/>
                <w:bCs/>
                <w:szCs w:val="16"/>
              </w:rPr>
              <w:t>:</w:t>
            </w:r>
          </w:p>
          <w:p w:rsidR="001678B4" w:rsidRPr="00CC5226" w:rsidRDefault="005F4AFC" w:rsidP="00F11D00">
            <w:pPr>
              <w:widowControl/>
              <w:autoSpaceDE/>
              <w:autoSpaceDN/>
              <w:adjustRightInd/>
              <w:jc w:val="center"/>
              <w:rPr>
                <w:rFonts w:ascii="Arial" w:hAnsi="Arial" w:cs="Arial"/>
                <w:bCs/>
                <w:szCs w:val="16"/>
              </w:rPr>
            </w:pPr>
            <w:r>
              <w:rPr>
                <w:rFonts w:ascii="Arial" w:hAnsi="Arial" w:cs="Arial"/>
                <w:bCs/>
                <w:color w:val="FF0000"/>
                <w:szCs w:val="16"/>
              </w:rPr>
              <w:t>2/23</w:t>
            </w:r>
            <w:r w:rsidR="001678B4" w:rsidRPr="00CC5226">
              <w:rPr>
                <w:rFonts w:ascii="Arial" w:hAnsi="Arial" w:cs="Arial"/>
                <w:bCs/>
                <w:szCs w:val="16"/>
              </w:rPr>
              <w:t xml:space="preserve">, </w:t>
            </w:r>
            <w:r>
              <w:rPr>
                <w:rFonts w:ascii="Arial" w:hAnsi="Arial" w:cs="Arial"/>
                <w:bCs/>
                <w:color w:val="FF0000"/>
                <w:szCs w:val="16"/>
              </w:rPr>
              <w:t>5/21</w:t>
            </w:r>
            <w:r w:rsidR="001678B4">
              <w:rPr>
                <w:rFonts w:ascii="Arial" w:hAnsi="Arial" w:cs="Arial"/>
                <w:bCs/>
                <w:szCs w:val="16"/>
              </w:rPr>
              <w:t xml:space="preserve">, </w:t>
            </w:r>
            <w:r>
              <w:rPr>
                <w:rFonts w:ascii="Arial" w:hAnsi="Arial" w:cs="Arial"/>
                <w:bCs/>
                <w:color w:val="FF0000"/>
                <w:szCs w:val="16"/>
              </w:rPr>
              <w:t>8/12</w:t>
            </w:r>
            <w:r w:rsidR="001678B4" w:rsidRPr="00CC5226">
              <w:rPr>
                <w:rFonts w:ascii="Arial" w:hAnsi="Arial" w:cs="Arial"/>
                <w:bCs/>
                <w:szCs w:val="16"/>
              </w:rPr>
              <w:t xml:space="preserve">, </w:t>
            </w:r>
            <w:r>
              <w:rPr>
                <w:rFonts w:ascii="Arial" w:hAnsi="Arial" w:cs="Arial"/>
                <w:bCs/>
                <w:color w:val="FF0000"/>
                <w:szCs w:val="16"/>
              </w:rPr>
              <w:t>11/19</w:t>
            </w:r>
          </w:p>
        </w:tc>
        <w:tc>
          <w:tcPr>
            <w:tcW w:w="1116" w:type="dxa"/>
            <w:shd w:val="clear" w:color="auto" w:fill="auto"/>
            <w:vAlign w:val="center"/>
            <w:hideMark/>
          </w:tcPr>
          <w:p w:rsidR="001678B4" w:rsidRDefault="001678B4" w:rsidP="00F11D00">
            <w:pPr>
              <w:widowControl/>
              <w:autoSpaceDE/>
              <w:autoSpaceDN/>
              <w:adjustRightInd/>
              <w:jc w:val="center"/>
              <w:rPr>
                <w:rFonts w:ascii="Arial" w:hAnsi="Arial" w:cs="Arial"/>
                <w:bCs/>
                <w:szCs w:val="16"/>
              </w:rPr>
            </w:pPr>
            <w:r>
              <w:rPr>
                <w:rFonts w:ascii="Arial" w:hAnsi="Arial" w:cs="Arial"/>
                <w:bCs/>
                <w:szCs w:val="16"/>
              </w:rPr>
              <w:t>Quarterly Samples</w:t>
            </w:r>
            <w:r>
              <w:rPr>
                <w:rFonts w:ascii="Arial" w:hAnsi="Arial" w:cs="Arial"/>
                <w:bCs/>
                <w:szCs w:val="16"/>
              </w:rPr>
              <w:br/>
              <w:t xml:space="preserve">Range </w:t>
            </w:r>
          </w:p>
          <w:p w:rsidR="001678B4" w:rsidRPr="00CC5226" w:rsidRDefault="001678B4" w:rsidP="00F11D00">
            <w:pPr>
              <w:widowControl/>
              <w:autoSpaceDE/>
              <w:autoSpaceDN/>
              <w:adjustRightInd/>
              <w:jc w:val="center"/>
              <w:rPr>
                <w:rFonts w:ascii="Arial" w:hAnsi="Arial" w:cs="Arial"/>
                <w:bCs/>
                <w:szCs w:val="16"/>
              </w:rPr>
            </w:pPr>
            <w:r>
              <w:rPr>
                <w:rFonts w:ascii="Arial" w:hAnsi="Arial" w:cs="Arial"/>
                <w:bCs/>
                <w:szCs w:val="16"/>
              </w:rPr>
              <w:t>2-</w:t>
            </w:r>
            <w:r w:rsidR="005F4AFC" w:rsidRPr="005F4AFC">
              <w:rPr>
                <w:rFonts w:ascii="Arial" w:hAnsi="Arial" w:cs="Arial"/>
                <w:bCs/>
                <w:color w:val="FF0000"/>
                <w:szCs w:val="16"/>
              </w:rPr>
              <w:t>12</w:t>
            </w:r>
          </w:p>
        </w:tc>
        <w:tc>
          <w:tcPr>
            <w:tcW w:w="1258" w:type="dxa"/>
            <w:gridSpan w:val="3"/>
            <w:shd w:val="clear" w:color="auto" w:fill="auto"/>
            <w:vAlign w:val="center"/>
            <w:hideMark/>
          </w:tcPr>
          <w:p w:rsidR="001678B4" w:rsidRDefault="001678B4" w:rsidP="00F11D00">
            <w:pPr>
              <w:widowControl/>
              <w:autoSpaceDE/>
              <w:autoSpaceDN/>
              <w:adjustRightInd/>
              <w:jc w:val="center"/>
              <w:rPr>
                <w:rFonts w:ascii="Arial" w:hAnsi="Arial" w:cs="Arial"/>
                <w:bCs/>
                <w:szCs w:val="16"/>
              </w:rPr>
            </w:pPr>
            <w:r w:rsidRPr="00CC5226">
              <w:rPr>
                <w:rFonts w:ascii="Arial" w:hAnsi="Arial" w:cs="Arial"/>
                <w:bCs/>
                <w:szCs w:val="16"/>
              </w:rPr>
              <w:t>Highest *LRAA</w:t>
            </w:r>
          </w:p>
          <w:p w:rsidR="001678B4" w:rsidRPr="00CC5226" w:rsidRDefault="005F4AFC" w:rsidP="00F11D00">
            <w:pPr>
              <w:widowControl/>
              <w:autoSpaceDE/>
              <w:autoSpaceDN/>
              <w:adjustRightInd/>
              <w:jc w:val="center"/>
              <w:rPr>
                <w:rFonts w:ascii="Arial" w:hAnsi="Arial" w:cs="Arial"/>
                <w:bCs/>
                <w:szCs w:val="16"/>
              </w:rPr>
            </w:pPr>
            <w:r>
              <w:rPr>
                <w:rFonts w:ascii="Arial" w:hAnsi="Arial" w:cs="Arial"/>
                <w:bCs/>
                <w:color w:val="FF0000"/>
                <w:szCs w:val="16"/>
              </w:rPr>
              <w:t>7</w:t>
            </w:r>
          </w:p>
        </w:tc>
        <w:tc>
          <w:tcPr>
            <w:tcW w:w="1136" w:type="dxa"/>
            <w:shd w:val="clear" w:color="auto" w:fill="auto"/>
            <w:noWrap/>
            <w:vAlign w:val="center"/>
            <w:hideMark/>
          </w:tcPr>
          <w:p w:rsidR="001678B4" w:rsidRPr="00F9587A" w:rsidRDefault="001678B4" w:rsidP="00F11D00">
            <w:pPr>
              <w:widowControl/>
              <w:autoSpaceDE/>
              <w:autoSpaceDN/>
              <w:adjustRightInd/>
              <w:jc w:val="center"/>
              <w:rPr>
                <w:rFonts w:ascii="Arial" w:hAnsi="Arial" w:cs="Arial"/>
                <w:szCs w:val="16"/>
              </w:rPr>
            </w:pPr>
            <w:r>
              <w:rPr>
                <w:rFonts w:ascii="Arial" w:hAnsi="Arial" w:cs="Arial"/>
                <w:szCs w:val="16"/>
              </w:rPr>
              <w:t>ug/L</w:t>
            </w:r>
          </w:p>
        </w:tc>
        <w:tc>
          <w:tcPr>
            <w:tcW w:w="1170" w:type="dxa"/>
            <w:shd w:val="clear" w:color="auto" w:fill="auto"/>
            <w:noWrap/>
            <w:vAlign w:val="center"/>
            <w:hideMark/>
          </w:tcPr>
          <w:p w:rsidR="001678B4" w:rsidRPr="00F9587A" w:rsidRDefault="001678B4" w:rsidP="00F11D00">
            <w:pPr>
              <w:widowControl/>
              <w:autoSpaceDE/>
              <w:autoSpaceDN/>
              <w:adjustRightInd/>
              <w:jc w:val="center"/>
              <w:rPr>
                <w:rFonts w:ascii="Arial" w:hAnsi="Arial" w:cs="Arial"/>
                <w:szCs w:val="16"/>
              </w:rPr>
            </w:pPr>
            <w:r w:rsidRPr="00F9587A">
              <w:rPr>
                <w:rFonts w:ascii="Arial" w:hAnsi="Arial" w:cs="Arial"/>
                <w:szCs w:val="16"/>
              </w:rPr>
              <w:t>n/a</w:t>
            </w:r>
          </w:p>
        </w:tc>
        <w:tc>
          <w:tcPr>
            <w:tcW w:w="1350" w:type="dxa"/>
            <w:shd w:val="clear" w:color="auto" w:fill="auto"/>
            <w:vAlign w:val="center"/>
            <w:hideMark/>
          </w:tcPr>
          <w:p w:rsidR="001678B4" w:rsidRPr="00F9587A" w:rsidRDefault="001678B4" w:rsidP="00F11D00">
            <w:pPr>
              <w:widowControl/>
              <w:autoSpaceDE/>
              <w:autoSpaceDN/>
              <w:adjustRightInd/>
              <w:jc w:val="center"/>
              <w:rPr>
                <w:rFonts w:ascii="Arial" w:hAnsi="Arial" w:cs="Arial"/>
                <w:szCs w:val="16"/>
              </w:rPr>
            </w:pPr>
            <w:r w:rsidRPr="00F9587A">
              <w:rPr>
                <w:rFonts w:ascii="Arial" w:hAnsi="Arial" w:cs="Arial"/>
                <w:szCs w:val="16"/>
              </w:rPr>
              <w:t>*LRAA</w:t>
            </w:r>
            <w:r w:rsidRPr="00F9587A">
              <w:rPr>
                <w:rFonts w:ascii="Arial" w:hAnsi="Arial" w:cs="Arial"/>
                <w:szCs w:val="16"/>
              </w:rPr>
              <w:br/>
              <w:t>Quarterly Average</w:t>
            </w:r>
            <w:r w:rsidRPr="00F9587A">
              <w:rPr>
                <w:rFonts w:ascii="Arial" w:hAnsi="Arial" w:cs="Arial"/>
                <w:szCs w:val="16"/>
              </w:rPr>
              <w:br/>
              <w:t>60</w:t>
            </w:r>
          </w:p>
        </w:tc>
        <w:tc>
          <w:tcPr>
            <w:tcW w:w="3240" w:type="dxa"/>
            <w:vMerge/>
            <w:shd w:val="clear" w:color="auto" w:fill="auto"/>
            <w:vAlign w:val="center"/>
          </w:tcPr>
          <w:p w:rsidR="001678B4" w:rsidRPr="00F9587A" w:rsidRDefault="001678B4" w:rsidP="00F11D00">
            <w:pPr>
              <w:widowControl/>
              <w:autoSpaceDE/>
              <w:autoSpaceDN/>
              <w:adjustRightInd/>
              <w:rPr>
                <w:rFonts w:ascii="Arial" w:hAnsi="Arial" w:cs="Arial"/>
                <w:szCs w:val="16"/>
              </w:rPr>
            </w:pPr>
          </w:p>
        </w:tc>
      </w:tr>
      <w:tr w:rsidR="00D4741C" w:rsidRPr="00F9587A" w:rsidTr="00F11D00">
        <w:trPr>
          <w:trHeight w:val="413"/>
        </w:trPr>
        <w:tc>
          <w:tcPr>
            <w:tcW w:w="14240" w:type="dxa"/>
            <w:gridSpan w:val="12"/>
            <w:shd w:val="clear" w:color="auto" w:fill="auto"/>
            <w:vAlign w:val="center"/>
          </w:tcPr>
          <w:p w:rsidR="00D4741C" w:rsidRPr="00811BAA" w:rsidRDefault="00D4741C" w:rsidP="00F11D00">
            <w:pPr>
              <w:widowControl/>
              <w:autoSpaceDE/>
              <w:autoSpaceDN/>
              <w:adjustRightInd/>
              <w:rPr>
                <w:rFonts w:ascii="Arial" w:hAnsi="Arial" w:cs="Arial"/>
                <w:szCs w:val="16"/>
              </w:rPr>
            </w:pPr>
            <w:r w:rsidRPr="00811BAA">
              <w:rPr>
                <w:rFonts w:ascii="Arial" w:hAnsi="Arial" w:cs="Arial"/>
                <w:bCs/>
                <w:szCs w:val="16"/>
              </w:rPr>
              <w:lastRenderedPageBreak/>
              <w:t>*LRAA (Locational Running Annual Average): average of last 4 quarters</w:t>
            </w:r>
          </w:p>
        </w:tc>
      </w:tr>
      <w:tr w:rsidR="00D4741C" w:rsidRPr="00F9587A" w:rsidTr="00F11D00">
        <w:trPr>
          <w:trHeight w:val="630"/>
        </w:trPr>
        <w:tc>
          <w:tcPr>
            <w:tcW w:w="2720" w:type="dxa"/>
            <w:gridSpan w:val="2"/>
            <w:shd w:val="clear" w:color="auto" w:fill="auto"/>
            <w:vAlign w:val="center"/>
          </w:tcPr>
          <w:p w:rsidR="00D4741C" w:rsidRPr="00F9587A" w:rsidRDefault="00D4741C" w:rsidP="00F11D00">
            <w:pPr>
              <w:widowControl/>
              <w:autoSpaceDE/>
              <w:autoSpaceDN/>
              <w:adjustRightInd/>
              <w:rPr>
                <w:rFonts w:ascii="Arial" w:hAnsi="Arial" w:cs="Arial"/>
                <w:b/>
                <w:bCs/>
                <w:szCs w:val="16"/>
              </w:rPr>
            </w:pPr>
            <w:r>
              <w:rPr>
                <w:rFonts w:ascii="Arial" w:hAnsi="Arial" w:cs="Arial"/>
                <w:b/>
                <w:bCs/>
                <w:szCs w:val="16"/>
              </w:rPr>
              <w:t>Chlorine</w:t>
            </w:r>
          </w:p>
        </w:tc>
        <w:tc>
          <w:tcPr>
            <w:tcW w:w="990" w:type="dxa"/>
            <w:shd w:val="clear" w:color="auto" w:fill="auto"/>
            <w:noWrap/>
            <w:vAlign w:val="center"/>
          </w:tcPr>
          <w:p w:rsidR="00D4741C" w:rsidRPr="00F9587A" w:rsidRDefault="00D4741C" w:rsidP="00F11D00">
            <w:pPr>
              <w:widowControl/>
              <w:autoSpaceDE/>
              <w:autoSpaceDN/>
              <w:adjustRightInd/>
              <w:jc w:val="center"/>
              <w:rPr>
                <w:rFonts w:ascii="Arial" w:hAnsi="Arial" w:cs="Arial"/>
                <w:szCs w:val="16"/>
              </w:rPr>
            </w:pPr>
            <w:r w:rsidRPr="00F9587A">
              <w:rPr>
                <w:rFonts w:ascii="Arial" w:hAnsi="Arial" w:cs="Arial"/>
                <w:szCs w:val="16"/>
              </w:rPr>
              <w:t>no</w:t>
            </w:r>
          </w:p>
        </w:tc>
        <w:tc>
          <w:tcPr>
            <w:tcW w:w="1260" w:type="dxa"/>
            <w:shd w:val="clear" w:color="auto" w:fill="auto"/>
            <w:vAlign w:val="center"/>
          </w:tcPr>
          <w:p w:rsidR="00D4741C" w:rsidRPr="00CC5226" w:rsidRDefault="00D4741C" w:rsidP="00F11D00">
            <w:pPr>
              <w:widowControl/>
              <w:autoSpaceDE/>
              <w:autoSpaceDN/>
              <w:adjustRightInd/>
              <w:jc w:val="center"/>
              <w:rPr>
                <w:rFonts w:ascii="Arial" w:hAnsi="Arial" w:cs="Arial"/>
                <w:bCs/>
                <w:szCs w:val="16"/>
              </w:rPr>
            </w:pPr>
            <w:r w:rsidRPr="00CC5226">
              <w:rPr>
                <w:rFonts w:ascii="Arial" w:hAnsi="Arial" w:cs="Arial"/>
                <w:bCs/>
                <w:szCs w:val="16"/>
              </w:rPr>
              <w:t xml:space="preserve">In </w:t>
            </w:r>
            <w:r w:rsidR="003309C2">
              <w:rPr>
                <w:rFonts w:ascii="Arial" w:hAnsi="Arial" w:cs="Arial"/>
                <w:bCs/>
                <w:szCs w:val="16"/>
              </w:rPr>
              <w:t>2021</w:t>
            </w:r>
            <w:r w:rsidRPr="00CC5226">
              <w:rPr>
                <w:rFonts w:ascii="Arial" w:hAnsi="Arial" w:cs="Arial"/>
                <w:bCs/>
                <w:szCs w:val="16"/>
              </w:rPr>
              <w:t xml:space="preserve">: </w:t>
            </w:r>
            <w:r w:rsidRPr="00CC5226">
              <w:rPr>
                <w:rFonts w:ascii="Arial" w:hAnsi="Arial" w:cs="Arial"/>
                <w:bCs/>
                <w:szCs w:val="16"/>
              </w:rPr>
              <w:br/>
              <w:t>monthly</w:t>
            </w:r>
          </w:p>
        </w:tc>
        <w:tc>
          <w:tcPr>
            <w:tcW w:w="1116" w:type="dxa"/>
            <w:shd w:val="clear" w:color="auto" w:fill="auto"/>
            <w:vAlign w:val="center"/>
          </w:tcPr>
          <w:p w:rsidR="00D4741C" w:rsidRPr="00CC5226" w:rsidRDefault="00D4741C" w:rsidP="00F11D00">
            <w:pPr>
              <w:widowControl/>
              <w:autoSpaceDE/>
              <w:autoSpaceDN/>
              <w:adjustRightInd/>
              <w:jc w:val="center"/>
              <w:rPr>
                <w:rFonts w:ascii="Arial" w:hAnsi="Arial" w:cs="Arial"/>
                <w:bCs/>
                <w:szCs w:val="16"/>
              </w:rPr>
            </w:pPr>
            <w:r w:rsidRPr="00CC5226">
              <w:rPr>
                <w:rFonts w:ascii="Arial" w:hAnsi="Arial" w:cs="Arial"/>
                <w:bCs/>
                <w:szCs w:val="16"/>
              </w:rPr>
              <w:t xml:space="preserve">High </w:t>
            </w:r>
            <w:r w:rsidR="005F4AFC">
              <w:rPr>
                <w:rFonts w:ascii="Arial" w:hAnsi="Arial" w:cs="Arial"/>
                <w:bCs/>
                <w:color w:val="FF0000"/>
                <w:szCs w:val="16"/>
              </w:rPr>
              <w:t>0.45</w:t>
            </w:r>
            <w:r w:rsidRPr="00CC5226">
              <w:rPr>
                <w:rFonts w:ascii="Arial" w:hAnsi="Arial" w:cs="Arial"/>
                <w:bCs/>
                <w:szCs w:val="16"/>
              </w:rPr>
              <w:br/>
              <w:t xml:space="preserve">Low </w:t>
            </w:r>
            <w:r w:rsidR="005F4AFC">
              <w:rPr>
                <w:rFonts w:ascii="Arial" w:hAnsi="Arial" w:cs="Arial"/>
                <w:bCs/>
                <w:color w:val="FF0000"/>
                <w:szCs w:val="16"/>
              </w:rPr>
              <w:t>0.30</w:t>
            </w:r>
          </w:p>
        </w:tc>
        <w:tc>
          <w:tcPr>
            <w:tcW w:w="1123" w:type="dxa"/>
            <w:shd w:val="clear" w:color="auto" w:fill="auto"/>
            <w:vAlign w:val="center"/>
          </w:tcPr>
          <w:p w:rsidR="00D4741C" w:rsidRPr="00CC5226" w:rsidRDefault="00D4741C" w:rsidP="00F11D00">
            <w:pPr>
              <w:widowControl/>
              <w:autoSpaceDE/>
              <w:autoSpaceDN/>
              <w:adjustRightInd/>
              <w:jc w:val="center"/>
              <w:rPr>
                <w:rFonts w:ascii="Arial" w:hAnsi="Arial" w:cs="Arial"/>
                <w:bCs/>
                <w:szCs w:val="16"/>
              </w:rPr>
            </w:pPr>
            <w:r w:rsidRPr="00CC5226">
              <w:rPr>
                <w:rFonts w:ascii="Arial" w:hAnsi="Arial" w:cs="Arial"/>
                <w:bCs/>
                <w:szCs w:val="16"/>
              </w:rPr>
              <w:t>Average</w:t>
            </w:r>
          </w:p>
          <w:p w:rsidR="00D4741C" w:rsidRPr="00CC5226" w:rsidRDefault="005F4AFC" w:rsidP="00F11D00">
            <w:pPr>
              <w:widowControl/>
              <w:autoSpaceDE/>
              <w:autoSpaceDN/>
              <w:adjustRightInd/>
              <w:jc w:val="center"/>
              <w:rPr>
                <w:rFonts w:ascii="Arial" w:hAnsi="Arial" w:cs="Arial"/>
                <w:szCs w:val="16"/>
              </w:rPr>
            </w:pPr>
            <w:r>
              <w:rPr>
                <w:rFonts w:ascii="Arial" w:hAnsi="Arial" w:cs="Arial"/>
                <w:bCs/>
                <w:color w:val="FF0000"/>
                <w:szCs w:val="16"/>
              </w:rPr>
              <w:t>0.40</w:t>
            </w:r>
          </w:p>
        </w:tc>
        <w:tc>
          <w:tcPr>
            <w:tcW w:w="1271" w:type="dxa"/>
            <w:gridSpan w:val="3"/>
            <w:shd w:val="clear" w:color="auto" w:fill="auto"/>
            <w:noWrap/>
            <w:vAlign w:val="center"/>
          </w:tcPr>
          <w:p w:rsidR="00D4741C" w:rsidRPr="00F9587A" w:rsidRDefault="00D4741C" w:rsidP="00F11D00">
            <w:pPr>
              <w:widowControl/>
              <w:autoSpaceDE/>
              <w:autoSpaceDN/>
              <w:adjustRightInd/>
              <w:jc w:val="center"/>
              <w:rPr>
                <w:rFonts w:ascii="Arial" w:hAnsi="Arial" w:cs="Arial"/>
                <w:szCs w:val="16"/>
              </w:rPr>
            </w:pPr>
            <w:r>
              <w:rPr>
                <w:rFonts w:ascii="Arial" w:hAnsi="Arial" w:cs="Arial"/>
                <w:szCs w:val="16"/>
              </w:rPr>
              <w:t>mg/L</w:t>
            </w:r>
          </w:p>
        </w:tc>
        <w:tc>
          <w:tcPr>
            <w:tcW w:w="1170" w:type="dxa"/>
            <w:shd w:val="clear" w:color="auto" w:fill="auto"/>
            <w:noWrap/>
            <w:vAlign w:val="center"/>
          </w:tcPr>
          <w:p w:rsidR="00D4741C" w:rsidRPr="00F9587A" w:rsidRDefault="00D4741C" w:rsidP="00F11D00">
            <w:pPr>
              <w:widowControl/>
              <w:autoSpaceDE/>
              <w:autoSpaceDN/>
              <w:adjustRightInd/>
              <w:jc w:val="center"/>
              <w:rPr>
                <w:rFonts w:ascii="Arial" w:hAnsi="Arial" w:cs="Arial"/>
                <w:szCs w:val="16"/>
              </w:rPr>
            </w:pPr>
            <w:r w:rsidRPr="00F9587A">
              <w:rPr>
                <w:rFonts w:ascii="Arial" w:hAnsi="Arial" w:cs="Arial"/>
                <w:szCs w:val="16"/>
              </w:rPr>
              <w:t>MRDLG</w:t>
            </w:r>
            <w:r w:rsidRPr="00F9587A">
              <w:rPr>
                <w:rFonts w:ascii="Arial" w:hAnsi="Arial" w:cs="Arial"/>
                <w:szCs w:val="16"/>
              </w:rPr>
              <w:br/>
              <w:t xml:space="preserve"> 4.0</w:t>
            </w:r>
          </w:p>
        </w:tc>
        <w:tc>
          <w:tcPr>
            <w:tcW w:w="1350" w:type="dxa"/>
            <w:shd w:val="clear" w:color="auto" w:fill="auto"/>
            <w:vAlign w:val="center"/>
          </w:tcPr>
          <w:p w:rsidR="00D4741C" w:rsidRPr="00F9587A" w:rsidRDefault="00D4741C" w:rsidP="00F11D00">
            <w:pPr>
              <w:widowControl/>
              <w:autoSpaceDE/>
              <w:autoSpaceDN/>
              <w:adjustRightInd/>
              <w:jc w:val="center"/>
              <w:rPr>
                <w:rFonts w:ascii="Arial" w:hAnsi="Arial" w:cs="Arial"/>
                <w:szCs w:val="16"/>
              </w:rPr>
            </w:pPr>
            <w:r w:rsidRPr="00F9587A">
              <w:rPr>
                <w:rFonts w:ascii="Arial" w:hAnsi="Arial" w:cs="Arial"/>
                <w:szCs w:val="16"/>
              </w:rPr>
              <w:t>MRDL</w:t>
            </w:r>
            <w:r w:rsidRPr="00F9587A">
              <w:rPr>
                <w:rFonts w:ascii="Arial" w:hAnsi="Arial" w:cs="Arial"/>
                <w:szCs w:val="16"/>
              </w:rPr>
              <w:br/>
              <w:t>4.0</w:t>
            </w:r>
          </w:p>
        </w:tc>
        <w:tc>
          <w:tcPr>
            <w:tcW w:w="3240" w:type="dxa"/>
            <w:shd w:val="clear" w:color="auto" w:fill="auto"/>
            <w:vAlign w:val="center"/>
          </w:tcPr>
          <w:p w:rsidR="00D4741C" w:rsidRPr="00F9587A" w:rsidRDefault="00D4741C" w:rsidP="00F11D00">
            <w:pPr>
              <w:widowControl/>
              <w:autoSpaceDE/>
              <w:autoSpaceDN/>
              <w:adjustRightInd/>
              <w:rPr>
                <w:rFonts w:ascii="Arial" w:hAnsi="Arial" w:cs="Arial"/>
                <w:szCs w:val="16"/>
              </w:rPr>
            </w:pPr>
            <w:r w:rsidRPr="00F9587A">
              <w:rPr>
                <w:rFonts w:ascii="Arial" w:hAnsi="Arial" w:cs="Arial"/>
                <w:szCs w:val="16"/>
              </w:rPr>
              <w:t>Level of disinfectant necessary for control of microbial contaminants</w:t>
            </w:r>
          </w:p>
        </w:tc>
      </w:tr>
      <w:tr w:rsidR="00D4741C" w:rsidRPr="00F9587A" w:rsidTr="00F11D00">
        <w:trPr>
          <w:trHeight w:val="630"/>
        </w:trPr>
        <w:tc>
          <w:tcPr>
            <w:tcW w:w="2720" w:type="dxa"/>
            <w:gridSpan w:val="2"/>
            <w:shd w:val="clear" w:color="auto" w:fill="auto"/>
            <w:vAlign w:val="center"/>
          </w:tcPr>
          <w:p w:rsidR="00D4741C" w:rsidRPr="005E51A0" w:rsidRDefault="00D4741C" w:rsidP="00F11D00">
            <w:pPr>
              <w:widowControl/>
              <w:autoSpaceDE/>
              <w:autoSpaceDN/>
              <w:adjustRightInd/>
              <w:rPr>
                <w:rFonts w:ascii="Arial" w:hAnsi="Arial" w:cs="Arial"/>
                <w:b/>
              </w:rPr>
            </w:pPr>
            <w:r w:rsidRPr="005E51A0">
              <w:rPr>
                <w:rFonts w:ascii="Arial" w:hAnsi="Arial" w:cs="Arial"/>
                <w:b/>
              </w:rPr>
              <w:t>Copper at customer</w:t>
            </w:r>
            <w:r>
              <w:rPr>
                <w:rFonts w:ascii="Arial" w:hAnsi="Arial" w:cs="Arial"/>
                <w:b/>
              </w:rPr>
              <w:t xml:space="preserve"> </w:t>
            </w:r>
            <w:r w:rsidRPr="005E51A0">
              <w:rPr>
                <w:rFonts w:ascii="Arial" w:hAnsi="Arial" w:cs="Arial"/>
                <w:b/>
              </w:rPr>
              <w:t>taps</w:t>
            </w:r>
            <w:r>
              <w:rPr>
                <w:rFonts w:ascii="Arial" w:hAnsi="Arial" w:cs="Arial"/>
                <w:b/>
              </w:rPr>
              <w:t xml:space="preserve"> </w:t>
            </w:r>
            <w:r w:rsidRPr="005E51A0">
              <w:rPr>
                <w:rFonts w:ascii="Arial" w:hAnsi="Arial" w:cs="Arial"/>
                <w:b/>
              </w:rPr>
              <w:t>10 samples</w:t>
            </w:r>
          </w:p>
        </w:tc>
        <w:tc>
          <w:tcPr>
            <w:tcW w:w="990" w:type="dxa"/>
            <w:shd w:val="clear" w:color="auto" w:fill="auto"/>
            <w:noWrap/>
            <w:vAlign w:val="center"/>
          </w:tcPr>
          <w:p w:rsidR="00D4741C" w:rsidRPr="005E51A0" w:rsidRDefault="00D4741C" w:rsidP="00F11D00">
            <w:pPr>
              <w:widowControl/>
              <w:autoSpaceDE/>
              <w:autoSpaceDN/>
              <w:adjustRightInd/>
              <w:jc w:val="center"/>
              <w:rPr>
                <w:rFonts w:ascii="Arial" w:hAnsi="Arial" w:cs="Arial"/>
              </w:rPr>
            </w:pPr>
            <w:r w:rsidRPr="005E51A0">
              <w:rPr>
                <w:rFonts w:ascii="Arial" w:hAnsi="Arial" w:cs="Arial"/>
              </w:rPr>
              <w:t>no</w:t>
            </w:r>
          </w:p>
        </w:tc>
        <w:tc>
          <w:tcPr>
            <w:tcW w:w="1260" w:type="dxa"/>
            <w:shd w:val="clear" w:color="auto" w:fill="auto"/>
            <w:vAlign w:val="center"/>
          </w:tcPr>
          <w:p w:rsidR="00D4741C" w:rsidRPr="005E51A0" w:rsidRDefault="00D4741C" w:rsidP="00F11D00">
            <w:pPr>
              <w:widowControl/>
              <w:autoSpaceDE/>
              <w:autoSpaceDN/>
              <w:adjustRightInd/>
              <w:jc w:val="center"/>
              <w:rPr>
                <w:rFonts w:ascii="Arial" w:hAnsi="Arial" w:cs="Arial"/>
              </w:rPr>
            </w:pPr>
            <w:r w:rsidRPr="005E51A0">
              <w:rPr>
                <w:rFonts w:ascii="Arial" w:hAnsi="Arial" w:cs="Arial"/>
              </w:rPr>
              <w:t>8/13/2019</w:t>
            </w:r>
          </w:p>
        </w:tc>
        <w:tc>
          <w:tcPr>
            <w:tcW w:w="1116" w:type="dxa"/>
            <w:shd w:val="clear" w:color="auto" w:fill="auto"/>
            <w:vAlign w:val="center"/>
          </w:tcPr>
          <w:p w:rsidR="00D4741C" w:rsidRPr="005E51A0" w:rsidRDefault="00D4741C" w:rsidP="00F11D00">
            <w:pPr>
              <w:widowControl/>
              <w:autoSpaceDE/>
              <w:autoSpaceDN/>
              <w:adjustRightInd/>
              <w:jc w:val="center"/>
              <w:rPr>
                <w:rFonts w:ascii="Arial" w:hAnsi="Arial" w:cs="Arial"/>
              </w:rPr>
            </w:pPr>
            <w:r w:rsidRPr="005E51A0">
              <w:rPr>
                <w:rFonts w:ascii="Arial" w:hAnsi="Arial" w:cs="Arial"/>
              </w:rPr>
              <w:t xml:space="preserve">*90th % </w:t>
            </w:r>
            <w:r>
              <w:rPr>
                <w:rFonts w:ascii="Arial" w:hAnsi="Arial" w:cs="Arial"/>
              </w:rPr>
              <w:t>0.3</w:t>
            </w:r>
          </w:p>
        </w:tc>
        <w:tc>
          <w:tcPr>
            <w:tcW w:w="1123" w:type="dxa"/>
            <w:shd w:val="clear" w:color="auto" w:fill="auto"/>
            <w:vAlign w:val="center"/>
          </w:tcPr>
          <w:p w:rsidR="00D4741C" w:rsidRPr="005E51A0" w:rsidRDefault="00D4741C" w:rsidP="00F11D00">
            <w:pPr>
              <w:widowControl/>
              <w:autoSpaceDE/>
              <w:autoSpaceDN/>
              <w:adjustRightInd/>
              <w:jc w:val="center"/>
              <w:rPr>
                <w:rFonts w:ascii="Arial" w:hAnsi="Arial" w:cs="Arial"/>
              </w:rPr>
            </w:pPr>
            <w:r w:rsidRPr="005E51A0">
              <w:rPr>
                <w:rFonts w:ascii="Arial" w:hAnsi="Arial" w:cs="Arial"/>
              </w:rPr>
              <w:t xml:space="preserve">High </w:t>
            </w:r>
            <w:r>
              <w:rPr>
                <w:rFonts w:ascii="Arial" w:hAnsi="Arial" w:cs="Arial"/>
              </w:rPr>
              <w:t>0</w:t>
            </w:r>
            <w:r w:rsidRPr="005E51A0">
              <w:rPr>
                <w:rFonts w:ascii="Arial" w:hAnsi="Arial" w:cs="Arial"/>
              </w:rPr>
              <w:t>.</w:t>
            </w:r>
            <w:r>
              <w:rPr>
                <w:rFonts w:ascii="Arial" w:hAnsi="Arial" w:cs="Arial"/>
              </w:rPr>
              <w:t>3</w:t>
            </w:r>
            <w:r w:rsidRPr="005E51A0">
              <w:rPr>
                <w:rFonts w:ascii="Arial" w:hAnsi="Arial" w:cs="Arial"/>
              </w:rPr>
              <w:br/>
              <w:t>Low .</w:t>
            </w:r>
            <w:r>
              <w:rPr>
                <w:rFonts w:ascii="Arial" w:hAnsi="Arial" w:cs="Arial"/>
              </w:rPr>
              <w:t>03</w:t>
            </w:r>
          </w:p>
        </w:tc>
        <w:tc>
          <w:tcPr>
            <w:tcW w:w="1271" w:type="dxa"/>
            <w:gridSpan w:val="3"/>
            <w:shd w:val="clear" w:color="auto" w:fill="auto"/>
            <w:noWrap/>
            <w:vAlign w:val="center"/>
          </w:tcPr>
          <w:p w:rsidR="00D4741C" w:rsidRPr="005E51A0" w:rsidRDefault="00D4741C" w:rsidP="00F11D00">
            <w:pPr>
              <w:widowControl/>
              <w:autoSpaceDE/>
              <w:autoSpaceDN/>
              <w:adjustRightInd/>
              <w:jc w:val="center"/>
              <w:rPr>
                <w:rFonts w:ascii="Arial" w:hAnsi="Arial" w:cs="Arial"/>
              </w:rPr>
            </w:pPr>
            <w:r w:rsidRPr="005E51A0">
              <w:rPr>
                <w:rFonts w:ascii="Arial" w:hAnsi="Arial" w:cs="Arial"/>
              </w:rPr>
              <w:t>mg/L</w:t>
            </w:r>
          </w:p>
        </w:tc>
        <w:tc>
          <w:tcPr>
            <w:tcW w:w="1170" w:type="dxa"/>
            <w:shd w:val="clear" w:color="auto" w:fill="auto"/>
            <w:noWrap/>
            <w:vAlign w:val="center"/>
          </w:tcPr>
          <w:p w:rsidR="00D4741C" w:rsidRPr="005E51A0" w:rsidRDefault="00D4741C" w:rsidP="00F11D00">
            <w:pPr>
              <w:widowControl/>
              <w:autoSpaceDE/>
              <w:autoSpaceDN/>
              <w:adjustRightInd/>
              <w:jc w:val="center"/>
              <w:rPr>
                <w:rFonts w:ascii="Arial" w:hAnsi="Arial" w:cs="Arial"/>
              </w:rPr>
            </w:pPr>
            <w:r w:rsidRPr="005E51A0">
              <w:rPr>
                <w:rFonts w:ascii="Arial" w:hAnsi="Arial" w:cs="Arial"/>
              </w:rPr>
              <w:t>1.3</w:t>
            </w:r>
          </w:p>
        </w:tc>
        <w:tc>
          <w:tcPr>
            <w:tcW w:w="1350" w:type="dxa"/>
            <w:shd w:val="clear" w:color="auto" w:fill="auto"/>
            <w:vAlign w:val="center"/>
          </w:tcPr>
          <w:p w:rsidR="00D4741C" w:rsidRPr="005E51A0" w:rsidRDefault="00D4741C" w:rsidP="00F11D00">
            <w:pPr>
              <w:widowControl/>
              <w:autoSpaceDE/>
              <w:autoSpaceDN/>
              <w:adjustRightInd/>
              <w:jc w:val="center"/>
              <w:rPr>
                <w:rFonts w:ascii="Arial" w:hAnsi="Arial" w:cs="Arial"/>
              </w:rPr>
            </w:pPr>
            <w:r w:rsidRPr="005E51A0">
              <w:rPr>
                <w:rFonts w:ascii="Arial" w:hAnsi="Arial" w:cs="Arial"/>
              </w:rPr>
              <w:t>AL=1.3</w:t>
            </w:r>
          </w:p>
        </w:tc>
        <w:tc>
          <w:tcPr>
            <w:tcW w:w="3240" w:type="dxa"/>
            <w:vMerge w:val="restart"/>
            <w:shd w:val="clear" w:color="auto" w:fill="auto"/>
            <w:vAlign w:val="center"/>
          </w:tcPr>
          <w:p w:rsidR="00D4741C" w:rsidRPr="005E51A0" w:rsidRDefault="00D4741C" w:rsidP="00F11D00">
            <w:pPr>
              <w:rPr>
                <w:rFonts w:ascii="Arial" w:hAnsi="Arial" w:cs="Arial"/>
              </w:rPr>
            </w:pPr>
            <w:r w:rsidRPr="005E51A0">
              <w:rPr>
                <w:rFonts w:ascii="Arial" w:hAnsi="Arial" w:cs="Arial"/>
              </w:rPr>
              <w:t>Corrosion of household plumbing systems</w:t>
            </w:r>
          </w:p>
        </w:tc>
      </w:tr>
      <w:tr w:rsidR="00D4741C" w:rsidRPr="00F9587A" w:rsidTr="00F11D00">
        <w:trPr>
          <w:trHeight w:val="630"/>
        </w:trPr>
        <w:tc>
          <w:tcPr>
            <w:tcW w:w="2720" w:type="dxa"/>
            <w:gridSpan w:val="2"/>
            <w:shd w:val="clear" w:color="auto" w:fill="auto"/>
            <w:vAlign w:val="center"/>
          </w:tcPr>
          <w:p w:rsidR="00D4741C" w:rsidRPr="005E51A0" w:rsidRDefault="00D4741C" w:rsidP="00F11D00">
            <w:pPr>
              <w:widowControl/>
              <w:autoSpaceDE/>
              <w:autoSpaceDN/>
              <w:adjustRightInd/>
              <w:rPr>
                <w:rFonts w:ascii="Arial" w:hAnsi="Arial" w:cs="Arial"/>
                <w:b/>
              </w:rPr>
            </w:pPr>
            <w:r w:rsidRPr="005E51A0">
              <w:rPr>
                <w:rFonts w:ascii="Arial" w:hAnsi="Arial" w:cs="Arial"/>
                <w:b/>
              </w:rPr>
              <w:t>Lead at customer taps</w:t>
            </w:r>
          </w:p>
          <w:p w:rsidR="00D4741C" w:rsidRPr="005E51A0" w:rsidRDefault="00D4741C" w:rsidP="00F11D00">
            <w:pPr>
              <w:widowControl/>
              <w:autoSpaceDE/>
              <w:autoSpaceDN/>
              <w:adjustRightInd/>
              <w:rPr>
                <w:rFonts w:ascii="Arial" w:hAnsi="Arial" w:cs="Arial"/>
                <w:b/>
              </w:rPr>
            </w:pPr>
            <w:r w:rsidRPr="005E51A0">
              <w:rPr>
                <w:rFonts w:ascii="Arial" w:hAnsi="Arial" w:cs="Arial"/>
                <w:b/>
              </w:rPr>
              <w:t>10 samples</w:t>
            </w:r>
          </w:p>
        </w:tc>
        <w:tc>
          <w:tcPr>
            <w:tcW w:w="990" w:type="dxa"/>
            <w:shd w:val="clear" w:color="auto" w:fill="auto"/>
            <w:noWrap/>
            <w:vAlign w:val="center"/>
          </w:tcPr>
          <w:p w:rsidR="00D4741C" w:rsidRPr="005E51A0" w:rsidRDefault="00D4741C" w:rsidP="00F11D00">
            <w:pPr>
              <w:widowControl/>
              <w:autoSpaceDE/>
              <w:autoSpaceDN/>
              <w:adjustRightInd/>
              <w:jc w:val="center"/>
              <w:rPr>
                <w:rFonts w:ascii="Arial" w:hAnsi="Arial" w:cs="Arial"/>
              </w:rPr>
            </w:pPr>
            <w:r w:rsidRPr="005E51A0">
              <w:rPr>
                <w:rFonts w:ascii="Arial" w:hAnsi="Arial" w:cs="Arial"/>
              </w:rPr>
              <w:t>no</w:t>
            </w:r>
          </w:p>
        </w:tc>
        <w:tc>
          <w:tcPr>
            <w:tcW w:w="1260" w:type="dxa"/>
            <w:shd w:val="clear" w:color="auto" w:fill="auto"/>
            <w:vAlign w:val="center"/>
          </w:tcPr>
          <w:p w:rsidR="00D4741C" w:rsidRPr="005E51A0" w:rsidRDefault="00D4741C" w:rsidP="00F11D00">
            <w:pPr>
              <w:widowControl/>
              <w:autoSpaceDE/>
              <w:autoSpaceDN/>
              <w:adjustRightInd/>
              <w:jc w:val="center"/>
              <w:rPr>
                <w:rFonts w:ascii="Arial" w:hAnsi="Arial" w:cs="Arial"/>
              </w:rPr>
            </w:pPr>
            <w:r w:rsidRPr="005E51A0">
              <w:rPr>
                <w:rFonts w:ascii="Arial" w:hAnsi="Arial" w:cs="Arial"/>
              </w:rPr>
              <w:t>8/13/2019</w:t>
            </w:r>
          </w:p>
        </w:tc>
        <w:tc>
          <w:tcPr>
            <w:tcW w:w="1116" w:type="dxa"/>
            <w:shd w:val="clear" w:color="auto" w:fill="auto"/>
            <w:vAlign w:val="center"/>
          </w:tcPr>
          <w:p w:rsidR="00D4741C" w:rsidRPr="005E51A0" w:rsidRDefault="00D4741C" w:rsidP="00F11D00">
            <w:pPr>
              <w:widowControl/>
              <w:autoSpaceDE/>
              <w:autoSpaceDN/>
              <w:adjustRightInd/>
              <w:jc w:val="center"/>
              <w:rPr>
                <w:rFonts w:ascii="Arial" w:hAnsi="Arial" w:cs="Arial"/>
              </w:rPr>
            </w:pPr>
            <w:r w:rsidRPr="005E51A0">
              <w:rPr>
                <w:rFonts w:ascii="Arial" w:hAnsi="Arial" w:cs="Arial"/>
              </w:rPr>
              <w:t>*90th % 1.6</w:t>
            </w:r>
          </w:p>
        </w:tc>
        <w:tc>
          <w:tcPr>
            <w:tcW w:w="1123" w:type="dxa"/>
            <w:shd w:val="clear" w:color="auto" w:fill="auto"/>
            <w:vAlign w:val="center"/>
          </w:tcPr>
          <w:p w:rsidR="00D4741C" w:rsidRPr="005E51A0" w:rsidRDefault="00D4741C" w:rsidP="00F11D00">
            <w:pPr>
              <w:widowControl/>
              <w:autoSpaceDE/>
              <w:autoSpaceDN/>
              <w:adjustRightInd/>
              <w:jc w:val="center"/>
              <w:rPr>
                <w:rFonts w:ascii="Arial" w:hAnsi="Arial" w:cs="Arial"/>
              </w:rPr>
            </w:pPr>
            <w:r w:rsidRPr="005E51A0">
              <w:rPr>
                <w:rFonts w:ascii="Arial" w:hAnsi="Arial" w:cs="Arial"/>
              </w:rPr>
              <w:t>High 2</w:t>
            </w:r>
            <w:r w:rsidRPr="005E51A0">
              <w:rPr>
                <w:rFonts w:ascii="Arial" w:hAnsi="Arial" w:cs="Arial"/>
              </w:rPr>
              <w:br/>
              <w:t>Low ND</w:t>
            </w:r>
          </w:p>
        </w:tc>
        <w:tc>
          <w:tcPr>
            <w:tcW w:w="1271" w:type="dxa"/>
            <w:gridSpan w:val="3"/>
            <w:shd w:val="clear" w:color="auto" w:fill="auto"/>
            <w:noWrap/>
            <w:vAlign w:val="center"/>
          </w:tcPr>
          <w:p w:rsidR="00D4741C" w:rsidRPr="005E51A0" w:rsidRDefault="00D4741C" w:rsidP="00F11D00">
            <w:pPr>
              <w:widowControl/>
              <w:autoSpaceDE/>
              <w:autoSpaceDN/>
              <w:adjustRightInd/>
              <w:jc w:val="center"/>
              <w:rPr>
                <w:rFonts w:ascii="Arial" w:hAnsi="Arial" w:cs="Arial"/>
              </w:rPr>
            </w:pPr>
            <w:r w:rsidRPr="005E51A0">
              <w:rPr>
                <w:rFonts w:ascii="Arial" w:hAnsi="Arial" w:cs="Arial"/>
              </w:rPr>
              <w:t>ug/L</w:t>
            </w:r>
          </w:p>
        </w:tc>
        <w:tc>
          <w:tcPr>
            <w:tcW w:w="1170" w:type="dxa"/>
            <w:shd w:val="clear" w:color="auto" w:fill="auto"/>
            <w:noWrap/>
            <w:vAlign w:val="center"/>
          </w:tcPr>
          <w:p w:rsidR="00D4741C" w:rsidRPr="005E51A0" w:rsidRDefault="00D4741C" w:rsidP="00F11D00">
            <w:pPr>
              <w:widowControl/>
              <w:autoSpaceDE/>
              <w:autoSpaceDN/>
              <w:adjustRightInd/>
              <w:jc w:val="center"/>
              <w:rPr>
                <w:rFonts w:ascii="Arial" w:hAnsi="Arial" w:cs="Arial"/>
              </w:rPr>
            </w:pPr>
            <w:r w:rsidRPr="005E51A0">
              <w:rPr>
                <w:rFonts w:ascii="Arial" w:hAnsi="Arial" w:cs="Arial"/>
              </w:rPr>
              <w:t>0</w:t>
            </w:r>
          </w:p>
        </w:tc>
        <w:tc>
          <w:tcPr>
            <w:tcW w:w="1350" w:type="dxa"/>
            <w:shd w:val="clear" w:color="auto" w:fill="auto"/>
            <w:vAlign w:val="center"/>
          </w:tcPr>
          <w:p w:rsidR="00D4741C" w:rsidRPr="005E51A0" w:rsidRDefault="00D4741C" w:rsidP="00F11D00">
            <w:pPr>
              <w:widowControl/>
              <w:autoSpaceDE/>
              <w:autoSpaceDN/>
              <w:adjustRightInd/>
              <w:jc w:val="center"/>
              <w:rPr>
                <w:rFonts w:ascii="Arial" w:hAnsi="Arial" w:cs="Arial"/>
              </w:rPr>
            </w:pPr>
            <w:r w:rsidRPr="005E51A0">
              <w:rPr>
                <w:rFonts w:ascii="Arial" w:hAnsi="Arial" w:cs="Arial"/>
              </w:rPr>
              <w:t>AL=15</w:t>
            </w:r>
          </w:p>
        </w:tc>
        <w:tc>
          <w:tcPr>
            <w:tcW w:w="3240" w:type="dxa"/>
            <w:vMerge/>
            <w:shd w:val="clear" w:color="auto" w:fill="auto"/>
            <w:vAlign w:val="center"/>
          </w:tcPr>
          <w:p w:rsidR="00D4741C" w:rsidRPr="005E51A0" w:rsidRDefault="00D4741C" w:rsidP="00F11D00">
            <w:pPr>
              <w:widowControl/>
              <w:autoSpaceDE/>
              <w:autoSpaceDN/>
              <w:adjustRightInd/>
              <w:rPr>
                <w:rFonts w:ascii="Arial" w:hAnsi="Arial" w:cs="Arial"/>
              </w:rPr>
            </w:pPr>
          </w:p>
        </w:tc>
      </w:tr>
      <w:tr w:rsidR="00D4741C" w:rsidRPr="00F9587A" w:rsidTr="00F11D00">
        <w:trPr>
          <w:trHeight w:val="634"/>
        </w:trPr>
        <w:tc>
          <w:tcPr>
            <w:tcW w:w="14240" w:type="dxa"/>
            <w:gridSpan w:val="12"/>
            <w:shd w:val="clear" w:color="auto" w:fill="auto"/>
            <w:vAlign w:val="center"/>
          </w:tcPr>
          <w:p w:rsidR="00D4741C" w:rsidRPr="007A61E6" w:rsidRDefault="00D4741C" w:rsidP="00F11D00">
            <w:pPr>
              <w:widowControl/>
              <w:autoSpaceDE/>
              <w:autoSpaceDN/>
              <w:adjustRightInd/>
              <w:rPr>
                <w:rFonts w:ascii="Arial" w:hAnsi="Arial" w:cs="Arial"/>
                <w:sz w:val="18"/>
                <w:szCs w:val="16"/>
              </w:rPr>
            </w:pPr>
            <w:r w:rsidRPr="007A61E6">
              <w:rPr>
                <w:rFonts w:ascii="Arial" w:hAnsi="Arial" w:cs="Arial"/>
                <w:sz w:val="18"/>
                <w:szCs w:val="16"/>
              </w:rPr>
              <w:t xml:space="preserve">*90th Percentile:  Out of 10 samples from homes in the Village of Wellsburg, 90% </w:t>
            </w:r>
            <w:r>
              <w:rPr>
                <w:rFonts w:ascii="Arial" w:hAnsi="Arial" w:cs="Arial"/>
                <w:sz w:val="18"/>
                <w:szCs w:val="16"/>
              </w:rPr>
              <w:t>were less than or equal to the value shown.  N</w:t>
            </w:r>
            <w:r w:rsidRPr="007A61E6">
              <w:rPr>
                <w:rFonts w:ascii="Arial" w:hAnsi="Arial" w:cs="Arial"/>
                <w:sz w:val="18"/>
                <w:szCs w:val="16"/>
              </w:rPr>
              <w:t>o samples excee</w:t>
            </w:r>
            <w:r>
              <w:rPr>
                <w:rFonts w:ascii="Arial" w:hAnsi="Arial" w:cs="Arial"/>
                <w:sz w:val="18"/>
                <w:szCs w:val="16"/>
              </w:rPr>
              <w:t xml:space="preserve">ded the </w:t>
            </w:r>
            <w:r w:rsidRPr="007A61E6">
              <w:rPr>
                <w:rFonts w:ascii="Arial" w:hAnsi="Arial" w:cs="Arial"/>
                <w:sz w:val="18"/>
                <w:szCs w:val="16"/>
              </w:rPr>
              <w:t>action level (AL)</w:t>
            </w:r>
            <w:r>
              <w:rPr>
                <w:rFonts w:ascii="Arial" w:hAnsi="Arial" w:cs="Arial"/>
                <w:sz w:val="18"/>
                <w:szCs w:val="16"/>
              </w:rPr>
              <w:t xml:space="preserve"> for lead or copper.</w:t>
            </w:r>
          </w:p>
        </w:tc>
      </w:tr>
      <w:tr w:rsidR="00D4741C" w:rsidTr="00F11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32"/>
        </w:trPr>
        <w:tc>
          <w:tcPr>
            <w:tcW w:w="1424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D4741C" w:rsidRPr="00E517DC" w:rsidRDefault="00D4741C" w:rsidP="00F11D00">
            <w:pPr>
              <w:keepNext/>
              <w:keepLines/>
              <w:tabs>
                <w:tab w:val="left" w:pos="0"/>
                <w:tab w:val="left" w:pos="3373"/>
              </w:tabs>
              <w:suppressAutoHyphens/>
              <w:spacing w:before="240" w:after="120" w:line="240" w:lineRule="atLeast"/>
              <w:rPr>
                <w:szCs w:val="22"/>
              </w:rPr>
            </w:pPr>
            <w:r w:rsidRPr="00E517DC">
              <w:rPr>
                <w:b/>
                <w:bCs/>
                <w:szCs w:val="24"/>
              </w:rPr>
              <w:t>What does this information mean?</w:t>
            </w:r>
          </w:p>
          <w:p w:rsidR="00D4741C" w:rsidRPr="00E517DC" w:rsidRDefault="00D4741C" w:rsidP="00F11D00">
            <w:pPr>
              <w:keepLines/>
              <w:tabs>
                <w:tab w:val="left" w:pos="0"/>
              </w:tabs>
              <w:suppressAutoHyphens/>
              <w:spacing w:after="120" w:line="240" w:lineRule="atLeast"/>
              <w:rPr>
                <w:szCs w:val="24"/>
              </w:rPr>
            </w:pPr>
            <w:r w:rsidRPr="00E517DC">
              <w:rPr>
                <w:szCs w:val="24"/>
              </w:rPr>
              <w:t xml:space="preserve">As you can see by the table, our system had no violations. We have learned through our testing that some contaminants have been detected; however, these contaminants were detected at levels below those the State allows. </w:t>
            </w:r>
          </w:p>
          <w:p w:rsidR="00D4741C" w:rsidRPr="00E517DC" w:rsidRDefault="00D4741C" w:rsidP="00F11D00">
            <w:pPr>
              <w:tabs>
                <w:tab w:val="left" w:pos="0"/>
              </w:tabs>
              <w:suppressAutoHyphens/>
              <w:spacing w:after="120" w:line="240" w:lineRule="atLeast"/>
              <w:rPr>
                <w:b/>
                <w:bCs/>
                <w:szCs w:val="24"/>
              </w:rPr>
            </w:pPr>
            <w:r w:rsidRPr="00E517DC">
              <w:rPr>
                <w:b/>
                <w:bCs/>
                <w:szCs w:val="24"/>
              </w:rPr>
              <w:fldChar w:fldCharType="begin"/>
            </w:r>
            <w:r w:rsidRPr="00E517DC">
              <w:rPr>
                <w:b/>
                <w:bCs/>
                <w:szCs w:val="24"/>
              </w:rPr>
              <w:instrText xml:space="preserve">PRIVATE </w:instrText>
            </w:r>
            <w:r w:rsidRPr="00E517DC">
              <w:rPr>
                <w:b/>
                <w:bCs/>
                <w:szCs w:val="24"/>
              </w:rPr>
              <w:fldChar w:fldCharType="end"/>
            </w:r>
            <w:r w:rsidRPr="00E517DC">
              <w:rPr>
                <w:b/>
                <w:bCs/>
                <w:szCs w:val="24"/>
              </w:rPr>
              <w:t>Source Water Assessment:</w:t>
            </w:r>
            <w:r w:rsidRPr="00E517DC">
              <w:rPr>
                <w:b/>
                <w:bCs/>
                <w:szCs w:val="24"/>
              </w:rPr>
              <w:fldChar w:fldCharType="begin"/>
            </w:r>
            <w:r w:rsidRPr="00E517DC">
              <w:rPr>
                <w:b/>
                <w:bCs/>
                <w:szCs w:val="24"/>
              </w:rPr>
              <w:instrText>tc  \l 5 "Source Water Assessment\:"</w:instrText>
            </w:r>
            <w:r w:rsidRPr="00E517DC">
              <w:rPr>
                <w:b/>
                <w:bCs/>
                <w:szCs w:val="24"/>
              </w:rPr>
              <w:fldChar w:fldCharType="end"/>
            </w:r>
          </w:p>
          <w:p w:rsidR="00D4741C" w:rsidRPr="00E517DC" w:rsidRDefault="00D4741C" w:rsidP="00F11D00">
            <w:pPr>
              <w:tabs>
                <w:tab w:val="left" w:pos="0"/>
              </w:tabs>
              <w:suppressAutoHyphens/>
              <w:spacing w:after="120" w:line="240" w:lineRule="atLeast"/>
              <w:rPr>
                <w:szCs w:val="24"/>
              </w:rPr>
            </w:pPr>
            <w:r w:rsidRPr="00E517DC">
              <w:rPr>
                <w:szCs w:val="24"/>
              </w:rPr>
              <w:t xml:space="preserve">The NYS DOH has completed a source water assessment for the Elmira Water Board, based on available information. Possible and actual threats to multiple drinking water sources were evaluated. The state source water assessment includes a susceptibility rating based on the risk posed by each potential source of contamination and how easily those contaminants can move about. The susceptibility rating is an estimate of the potential for contamination of the source water, it does not mean that the water delivered to consumers is, or will become, contaminated. Contaminants that have been detected are report below. The source water assessments provide resource managers with additional information for protecting source waters into the future.  </w:t>
            </w:r>
          </w:p>
          <w:p w:rsidR="00D4741C" w:rsidRPr="00E517DC" w:rsidRDefault="00D4741C" w:rsidP="00F11D00">
            <w:pPr>
              <w:tabs>
                <w:tab w:val="left" w:pos="0"/>
              </w:tabs>
              <w:suppressAutoHyphens/>
              <w:spacing w:after="120" w:line="240" w:lineRule="atLeast"/>
              <w:rPr>
                <w:rFonts w:ascii="Arial" w:hAnsi="Arial" w:cs="Arial"/>
              </w:rPr>
            </w:pPr>
            <w:r w:rsidRPr="00E517DC">
              <w:rPr>
                <w:szCs w:val="24"/>
              </w:rPr>
              <w:t>The assessment found an elevated susceptibility to contamination for the surface water sources, the Chemung River and Hoffman Reservoir. The amount of agricultural lands in the assessment area results in elevated potential for protozoa and pesticides contamination. While there are some facilities present, permitted discharges do not likely represent an important threat to source water quality based on their density in the assessment area. However, it appears that the total amount of wastewater discharged to surface water in this assessment area is high enough to further raise the potential for contamination (particularly for protozoa). There are no noteworthy contamination threats associated with other discrete contaminant sources. Finally, it should be noted that relatively high flow velocities make river and reservoir drinking water supplies highly sensitive to existing and new sources of microbial contamination.  The assessment of the five active wells found them to have a medium-high to high susceptibility to microbials, nitrates, industrial solvents, and other industrial contaminants.  These ratings are due primarily to the close proximity of industrial/commercial facilities that discharge wastewater into the environment and low intensity residential activities in the assessment area.  Please note that water from all the sources is blended and treated at the filtration plant to provide disinfection and to remove contaminants. There are also wellhead protection rules in place for the wells, and watershed protection rules for the Hoffman Reservoir.  These rules give legal authority to forbid activities and discharges that could cause gross contamination in these sources.  A copy of this assessment, including a map of the assessment area, can be obtained by contacting the Chemung County Health Department.</w:t>
            </w:r>
          </w:p>
        </w:tc>
      </w:tr>
    </w:tbl>
    <w:p w:rsidR="00281331" w:rsidRPr="00281331" w:rsidRDefault="00281331" w:rsidP="001F18AB">
      <w:pPr>
        <w:keepNext/>
        <w:keepLines/>
        <w:tabs>
          <w:tab w:val="left" w:pos="0"/>
          <w:tab w:val="left" w:pos="3373"/>
        </w:tabs>
        <w:suppressAutoHyphens/>
        <w:spacing w:before="240" w:after="120" w:line="240" w:lineRule="atLeast"/>
        <w:rPr>
          <w:sz w:val="24"/>
          <w:szCs w:val="24"/>
        </w:rPr>
      </w:pPr>
    </w:p>
    <w:sectPr w:rsidR="00281331" w:rsidRPr="00281331" w:rsidSect="0007292F">
      <w:endnotePr>
        <w:numFmt w:val="decimal"/>
      </w:endnotePr>
      <w:pgSz w:w="15840" w:h="12240" w:orient="landscape"/>
      <w:pgMar w:top="900" w:right="990" w:bottom="90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2CF" w:rsidRDefault="002262CF">
      <w:pPr>
        <w:spacing w:line="20" w:lineRule="exact"/>
        <w:rPr>
          <w:szCs w:val="24"/>
        </w:rPr>
      </w:pPr>
    </w:p>
  </w:endnote>
  <w:endnote w:type="continuationSeparator" w:id="0">
    <w:p w:rsidR="002262CF" w:rsidRDefault="002262CF">
      <w:r>
        <w:rPr>
          <w:szCs w:val="24"/>
        </w:rPr>
        <w:t xml:space="preserve"> </w:t>
      </w:r>
    </w:p>
  </w:endnote>
  <w:endnote w:type="continuationNotice" w:id="1">
    <w:p w:rsidR="002262CF" w:rsidRDefault="002262CF">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897" w:rsidRDefault="002A1897" w:rsidP="0044078F">
    <w:pPr>
      <w:tabs>
        <w:tab w:val="left" w:pos="0"/>
        <w:tab w:val="center" w:pos="4320"/>
        <w:tab w:val="right" w:pos="8640"/>
      </w:tabs>
      <w:suppressAutoHyphens/>
      <w:spacing w:line="240" w:lineRule="atLeast"/>
    </w:pPr>
    <w:r>
      <w:rPr>
        <w:b/>
        <w:bCs/>
        <w:i/>
        <w:iCs/>
      </w:rPr>
      <w:t xml:space="preserve">Village of Wellsburg Annual Water Quality Report for </w:t>
    </w:r>
    <w:r w:rsidR="00DE1235">
      <w:rPr>
        <w:b/>
        <w:bCs/>
        <w:i/>
        <w:iCs/>
        <w:szCs w:val="28"/>
      </w:rPr>
      <w:t>20</w:t>
    </w:r>
    <w:r w:rsidR="0007292F">
      <w:rPr>
        <w:b/>
        <w:bCs/>
        <w:i/>
        <w:iCs/>
        <w:szCs w:val="28"/>
      </w:rPr>
      <w:t>2</w:t>
    </w:r>
    <w:r w:rsidR="00F11D00">
      <w:rPr>
        <w:b/>
        <w:bCs/>
        <w:i/>
        <w:iCs/>
        <w:szCs w:val="28"/>
      </w:rPr>
      <w:t>1</w:t>
    </w:r>
    <w:r>
      <w:tab/>
    </w:r>
    <w:r>
      <w:tab/>
      <w:t>Page</w:t>
    </w:r>
    <w:r>
      <w:rPr>
        <w:sz w:val="24"/>
        <w:szCs w:val="24"/>
      </w:rPr>
      <w:t xml:space="preserve"> </w:t>
    </w:r>
    <w:r>
      <w:rPr>
        <w:sz w:val="24"/>
        <w:szCs w:val="24"/>
      </w:rPr>
      <w:tab/>
    </w:r>
    <w:r>
      <w:fldChar w:fldCharType="begin"/>
    </w:r>
    <w:r>
      <w:instrText>page \* arabic</w:instrText>
    </w:r>
    <w:r>
      <w:fldChar w:fldCharType="separate"/>
    </w:r>
    <w:r w:rsidR="003309C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2CF" w:rsidRDefault="002262CF">
      <w:r>
        <w:rPr>
          <w:szCs w:val="24"/>
        </w:rPr>
        <w:separator/>
      </w:r>
    </w:p>
  </w:footnote>
  <w:footnote w:type="continuationSeparator" w:id="0">
    <w:p w:rsidR="002262CF" w:rsidRDefault="00226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22A4A"/>
    <w:multiLevelType w:val="hybridMultilevel"/>
    <w:tmpl w:val="4B161D42"/>
    <w:lvl w:ilvl="0" w:tplc="DD5004B4">
      <w:numFmt w:val="bullet"/>
      <w:lvlText w:val=""/>
      <w:lvlJc w:val="left"/>
      <w:pPr>
        <w:tabs>
          <w:tab w:val="num" w:pos="4320"/>
        </w:tabs>
        <w:ind w:left="5040" w:hanging="720"/>
      </w:pPr>
      <w:rPr>
        <w:rFonts w:ascii="Symbol" w:hAnsi="Symbol" w:hint="default"/>
        <w:color w:val="auto"/>
      </w:rPr>
    </w:lvl>
    <w:lvl w:ilvl="1" w:tplc="04090003" w:tentative="1">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 w15:restartNumberingAfterBreak="0">
    <w:nsid w:val="532B6CAD"/>
    <w:multiLevelType w:val="hybridMultilevel"/>
    <w:tmpl w:val="F536DADC"/>
    <w:lvl w:ilvl="0" w:tplc="DD5004B4">
      <w:numFmt w:val="bullet"/>
      <w:lvlText w:val=""/>
      <w:lvlJc w:val="left"/>
      <w:pPr>
        <w:tabs>
          <w:tab w:val="num" w:pos="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7D3"/>
    <w:rsid w:val="000117AB"/>
    <w:rsid w:val="00032AD1"/>
    <w:rsid w:val="00045198"/>
    <w:rsid w:val="000477D3"/>
    <w:rsid w:val="00054F39"/>
    <w:rsid w:val="0007292F"/>
    <w:rsid w:val="00091045"/>
    <w:rsid w:val="0009433A"/>
    <w:rsid w:val="000A0A8D"/>
    <w:rsid w:val="000A1B54"/>
    <w:rsid w:val="000C0084"/>
    <w:rsid w:val="000F5C0F"/>
    <w:rsid w:val="001334A3"/>
    <w:rsid w:val="00164B13"/>
    <w:rsid w:val="001676A0"/>
    <w:rsid w:val="001678B4"/>
    <w:rsid w:val="00175FDF"/>
    <w:rsid w:val="00187E62"/>
    <w:rsid w:val="00197281"/>
    <w:rsid w:val="001A2E17"/>
    <w:rsid w:val="001A3FD8"/>
    <w:rsid w:val="001F18AB"/>
    <w:rsid w:val="00217370"/>
    <w:rsid w:val="002262CF"/>
    <w:rsid w:val="00233058"/>
    <w:rsid w:val="00265604"/>
    <w:rsid w:val="00281331"/>
    <w:rsid w:val="00283A3B"/>
    <w:rsid w:val="00296DB3"/>
    <w:rsid w:val="002A1897"/>
    <w:rsid w:val="002B681E"/>
    <w:rsid w:val="002D3735"/>
    <w:rsid w:val="002D380E"/>
    <w:rsid w:val="002D3D8D"/>
    <w:rsid w:val="003309C2"/>
    <w:rsid w:val="003378E5"/>
    <w:rsid w:val="003412C1"/>
    <w:rsid w:val="00350A1A"/>
    <w:rsid w:val="00357346"/>
    <w:rsid w:val="00364E27"/>
    <w:rsid w:val="00373988"/>
    <w:rsid w:val="00392E9D"/>
    <w:rsid w:val="003951FA"/>
    <w:rsid w:val="003F1B81"/>
    <w:rsid w:val="003F4926"/>
    <w:rsid w:val="004122F7"/>
    <w:rsid w:val="00426A83"/>
    <w:rsid w:val="0044078F"/>
    <w:rsid w:val="004407B7"/>
    <w:rsid w:val="00453AD9"/>
    <w:rsid w:val="004548DF"/>
    <w:rsid w:val="004553CE"/>
    <w:rsid w:val="00455BDA"/>
    <w:rsid w:val="00464A82"/>
    <w:rsid w:val="00475954"/>
    <w:rsid w:val="00485966"/>
    <w:rsid w:val="004A0A7F"/>
    <w:rsid w:val="004A6573"/>
    <w:rsid w:val="004E6193"/>
    <w:rsid w:val="00503499"/>
    <w:rsid w:val="005150B2"/>
    <w:rsid w:val="005361F1"/>
    <w:rsid w:val="00555C56"/>
    <w:rsid w:val="00567676"/>
    <w:rsid w:val="00572805"/>
    <w:rsid w:val="005935F0"/>
    <w:rsid w:val="005B5C17"/>
    <w:rsid w:val="005C62AB"/>
    <w:rsid w:val="005C763D"/>
    <w:rsid w:val="005E51A0"/>
    <w:rsid w:val="005F4AFC"/>
    <w:rsid w:val="0063519E"/>
    <w:rsid w:val="00645F1D"/>
    <w:rsid w:val="00655B73"/>
    <w:rsid w:val="00690841"/>
    <w:rsid w:val="00696700"/>
    <w:rsid w:val="006A4C4F"/>
    <w:rsid w:val="006C5247"/>
    <w:rsid w:val="006D0445"/>
    <w:rsid w:val="006E1362"/>
    <w:rsid w:val="006F1AFA"/>
    <w:rsid w:val="006F33CE"/>
    <w:rsid w:val="006F662C"/>
    <w:rsid w:val="00730F90"/>
    <w:rsid w:val="0073559F"/>
    <w:rsid w:val="00752725"/>
    <w:rsid w:val="00753E0B"/>
    <w:rsid w:val="00764679"/>
    <w:rsid w:val="0078458E"/>
    <w:rsid w:val="00784977"/>
    <w:rsid w:val="00796A2F"/>
    <w:rsid w:val="007A61E6"/>
    <w:rsid w:val="007B3686"/>
    <w:rsid w:val="007D3226"/>
    <w:rsid w:val="007E7107"/>
    <w:rsid w:val="00800E10"/>
    <w:rsid w:val="00811B58"/>
    <w:rsid w:val="00811BAA"/>
    <w:rsid w:val="008260DE"/>
    <w:rsid w:val="008302E1"/>
    <w:rsid w:val="0084052E"/>
    <w:rsid w:val="00843BA8"/>
    <w:rsid w:val="00853872"/>
    <w:rsid w:val="00861A11"/>
    <w:rsid w:val="008656B0"/>
    <w:rsid w:val="00866A0C"/>
    <w:rsid w:val="0087446B"/>
    <w:rsid w:val="00880CF4"/>
    <w:rsid w:val="0089461C"/>
    <w:rsid w:val="00895FF3"/>
    <w:rsid w:val="008B3BF8"/>
    <w:rsid w:val="008F4607"/>
    <w:rsid w:val="00920492"/>
    <w:rsid w:val="0092086B"/>
    <w:rsid w:val="00925EF8"/>
    <w:rsid w:val="00944752"/>
    <w:rsid w:val="009879B0"/>
    <w:rsid w:val="0099320E"/>
    <w:rsid w:val="009A1612"/>
    <w:rsid w:val="009A199E"/>
    <w:rsid w:val="009A7D8D"/>
    <w:rsid w:val="009B7DB1"/>
    <w:rsid w:val="009C027F"/>
    <w:rsid w:val="009D11E1"/>
    <w:rsid w:val="009D4B86"/>
    <w:rsid w:val="009E6150"/>
    <w:rsid w:val="009F326F"/>
    <w:rsid w:val="00A02872"/>
    <w:rsid w:val="00A11F78"/>
    <w:rsid w:val="00A337C7"/>
    <w:rsid w:val="00A730DB"/>
    <w:rsid w:val="00A73EE7"/>
    <w:rsid w:val="00A97E16"/>
    <w:rsid w:val="00AC58A3"/>
    <w:rsid w:val="00AE76E7"/>
    <w:rsid w:val="00AF57FB"/>
    <w:rsid w:val="00B07C34"/>
    <w:rsid w:val="00B1012C"/>
    <w:rsid w:val="00B21A18"/>
    <w:rsid w:val="00B656B6"/>
    <w:rsid w:val="00B72491"/>
    <w:rsid w:val="00B776CA"/>
    <w:rsid w:val="00BA73B9"/>
    <w:rsid w:val="00BB2ED5"/>
    <w:rsid w:val="00BC4EED"/>
    <w:rsid w:val="00BD4E30"/>
    <w:rsid w:val="00BD6CDB"/>
    <w:rsid w:val="00BE59FD"/>
    <w:rsid w:val="00BE6531"/>
    <w:rsid w:val="00C1249D"/>
    <w:rsid w:val="00C1396E"/>
    <w:rsid w:val="00C2632A"/>
    <w:rsid w:val="00C329B9"/>
    <w:rsid w:val="00C47691"/>
    <w:rsid w:val="00C5664D"/>
    <w:rsid w:val="00C568F2"/>
    <w:rsid w:val="00C82ED4"/>
    <w:rsid w:val="00CA62B0"/>
    <w:rsid w:val="00CB4259"/>
    <w:rsid w:val="00CB5B6E"/>
    <w:rsid w:val="00CC5226"/>
    <w:rsid w:val="00D2065C"/>
    <w:rsid w:val="00D2168C"/>
    <w:rsid w:val="00D26006"/>
    <w:rsid w:val="00D320AB"/>
    <w:rsid w:val="00D32E10"/>
    <w:rsid w:val="00D4741C"/>
    <w:rsid w:val="00D63C92"/>
    <w:rsid w:val="00D66F92"/>
    <w:rsid w:val="00D86EAF"/>
    <w:rsid w:val="00D92C9E"/>
    <w:rsid w:val="00DB351B"/>
    <w:rsid w:val="00DB4ED8"/>
    <w:rsid w:val="00DB7AAA"/>
    <w:rsid w:val="00DB7C87"/>
    <w:rsid w:val="00DD442C"/>
    <w:rsid w:val="00DD68C0"/>
    <w:rsid w:val="00DE1235"/>
    <w:rsid w:val="00DE1A57"/>
    <w:rsid w:val="00E02FEA"/>
    <w:rsid w:val="00E04CDD"/>
    <w:rsid w:val="00E517DC"/>
    <w:rsid w:val="00E77B18"/>
    <w:rsid w:val="00EA2088"/>
    <w:rsid w:val="00EA2AE8"/>
    <w:rsid w:val="00EA7B5A"/>
    <w:rsid w:val="00EB1D8D"/>
    <w:rsid w:val="00EB1E9A"/>
    <w:rsid w:val="00EB1EA1"/>
    <w:rsid w:val="00EE0CA3"/>
    <w:rsid w:val="00EE7E35"/>
    <w:rsid w:val="00F0209C"/>
    <w:rsid w:val="00F11D00"/>
    <w:rsid w:val="00F136F2"/>
    <w:rsid w:val="00F25F51"/>
    <w:rsid w:val="00F614C5"/>
    <w:rsid w:val="00F76099"/>
    <w:rsid w:val="00F94C01"/>
    <w:rsid w:val="00F9587A"/>
    <w:rsid w:val="00FB5664"/>
    <w:rsid w:val="00FD1213"/>
    <w:rsid w:val="00FE0645"/>
    <w:rsid w:val="00FE2454"/>
    <w:rsid w:val="00FF0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BB6F67"/>
  <w15:chartTrackingRefBased/>
  <w15:docId w15:val="{B4B857F7-AAC6-47AB-B1BB-ED65658C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4752"/>
    <w:pPr>
      <w:widowControl w:val="0"/>
      <w:autoSpaceDE w:val="0"/>
      <w:autoSpaceDN w:val="0"/>
      <w:adjustRightInd w:val="0"/>
    </w:p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sz w:val="16"/>
      <w:szCs w:val="16"/>
    </w:rPr>
  </w:style>
  <w:style w:type="paragraph" w:styleId="Heading6">
    <w:name w:val="heading 6"/>
    <w:basedOn w:val="Normal"/>
    <w:next w:val="Normal"/>
    <w:qFormat/>
    <w:pPr>
      <w:keepNext/>
      <w:widowControl/>
      <w:autoSpaceDE/>
      <w:autoSpaceDN/>
      <w:adjustRightInd/>
      <w:jc w:val="center"/>
      <w:outlineLvl w:val="5"/>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Cs w:val="24"/>
    </w:rPr>
  </w:style>
  <w:style w:type="character" w:styleId="EndnoteReference">
    <w:name w:val="endnote reference"/>
    <w:semiHidden/>
    <w:rPr>
      <w:vertAlign w:val="superscript"/>
    </w:rPr>
  </w:style>
  <w:style w:type="paragraph" w:styleId="FootnoteText">
    <w:name w:val="footnote text"/>
    <w:basedOn w:val="Normal"/>
    <w:semiHidden/>
    <w:rPr>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Cs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240" w:line="240" w:lineRule="atLeast"/>
      <w:jc w:val="both"/>
    </w:pPr>
    <w:rPr>
      <w:spacing w:val="-3"/>
      <w:sz w:val="24"/>
      <w:szCs w:val="24"/>
    </w:rPr>
  </w:style>
  <w:style w:type="paragraph" w:styleId="BodyText2">
    <w:name w:val="Body Text 2"/>
    <w:basedOn w:val="Normal"/>
    <w:pPr>
      <w:tabs>
        <w:tab w:val="left" w:pos="0"/>
      </w:tabs>
      <w:suppressAutoHyphens/>
      <w:spacing w:after="120" w:line="240" w:lineRule="atLeast"/>
    </w:pPr>
    <w:rPr>
      <w:sz w:val="24"/>
      <w:szCs w:val="24"/>
    </w:rPr>
  </w:style>
  <w:style w:type="paragraph" w:customStyle="1" w:styleId="xl77">
    <w:name w:val="xl77"/>
    <w:basedOn w:val="Normal"/>
    <w:pPr>
      <w:widowControl/>
      <w:autoSpaceDE/>
      <w:autoSpaceDN/>
      <w:adjustRightInd/>
      <w:spacing w:before="100" w:beforeAutospacing="1" w:after="100" w:afterAutospacing="1"/>
    </w:pPr>
    <w:rPr>
      <w:rFonts w:ascii="Arial" w:hAnsi="Arial" w:cs="Arial"/>
      <w:b/>
      <w:bCs/>
      <w:sz w:val="16"/>
      <w:szCs w:val="16"/>
    </w:rPr>
  </w:style>
  <w:style w:type="paragraph" w:customStyle="1" w:styleId="xl63">
    <w:name w:val="xl63"/>
    <w:basedOn w:val="Normal"/>
    <w:pPr>
      <w:widowControl/>
      <w:autoSpaceDE/>
      <w:autoSpaceDN/>
      <w:adjustRightInd/>
      <w:spacing w:before="100" w:beforeAutospacing="1" w:after="100" w:afterAutospacing="1"/>
      <w:jc w:val="center"/>
      <w:textAlignment w:val="center"/>
    </w:pPr>
    <w:rPr>
      <w:rFonts w:ascii="Arial" w:hAnsi="Arial" w:cs="Arial"/>
      <w:sz w:val="16"/>
      <w:szCs w:val="16"/>
    </w:rPr>
  </w:style>
  <w:style w:type="table" w:styleId="TableGrid">
    <w:name w:val="Table Grid"/>
    <w:basedOn w:val="TableNormal"/>
    <w:rsid w:val="0019728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B4ED8"/>
    <w:rPr>
      <w:color w:val="0000FF"/>
      <w:u w:val="single"/>
    </w:rPr>
  </w:style>
  <w:style w:type="paragraph" w:styleId="BalloonText">
    <w:name w:val="Balloon Text"/>
    <w:basedOn w:val="Normal"/>
    <w:link w:val="BalloonTextChar"/>
    <w:rsid w:val="008B3BF8"/>
    <w:rPr>
      <w:rFonts w:ascii="Tahoma" w:hAnsi="Tahoma" w:cs="Tahoma"/>
      <w:sz w:val="16"/>
      <w:szCs w:val="16"/>
    </w:rPr>
  </w:style>
  <w:style w:type="character" w:customStyle="1" w:styleId="BalloonTextChar">
    <w:name w:val="Balloon Text Char"/>
    <w:link w:val="BalloonText"/>
    <w:rsid w:val="008B3BF8"/>
    <w:rPr>
      <w:rFonts w:ascii="Tahoma" w:hAnsi="Tahoma" w:cs="Tahoma"/>
      <w:sz w:val="16"/>
      <w:szCs w:val="16"/>
    </w:rPr>
  </w:style>
  <w:style w:type="character" w:customStyle="1" w:styleId="BodyTextChar">
    <w:name w:val="Body Text Char"/>
    <w:link w:val="BodyText"/>
    <w:rsid w:val="00281331"/>
    <w:rPr>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8434">
      <w:bodyDiv w:val="1"/>
      <w:marLeft w:val="0"/>
      <w:marRight w:val="0"/>
      <w:marTop w:val="0"/>
      <w:marBottom w:val="0"/>
      <w:divBdr>
        <w:top w:val="none" w:sz="0" w:space="0" w:color="auto"/>
        <w:left w:val="none" w:sz="0" w:space="0" w:color="auto"/>
        <w:bottom w:val="none" w:sz="0" w:space="0" w:color="auto"/>
        <w:right w:val="none" w:sz="0" w:space="0" w:color="auto"/>
      </w:divBdr>
    </w:div>
    <w:div w:id="181363410">
      <w:bodyDiv w:val="1"/>
      <w:marLeft w:val="0"/>
      <w:marRight w:val="0"/>
      <w:marTop w:val="0"/>
      <w:marBottom w:val="0"/>
      <w:divBdr>
        <w:top w:val="none" w:sz="0" w:space="0" w:color="auto"/>
        <w:left w:val="none" w:sz="0" w:space="0" w:color="auto"/>
        <w:bottom w:val="none" w:sz="0" w:space="0" w:color="auto"/>
        <w:right w:val="none" w:sz="0" w:space="0" w:color="auto"/>
      </w:divBdr>
    </w:div>
    <w:div w:id="234973529">
      <w:bodyDiv w:val="1"/>
      <w:marLeft w:val="0"/>
      <w:marRight w:val="0"/>
      <w:marTop w:val="0"/>
      <w:marBottom w:val="0"/>
      <w:divBdr>
        <w:top w:val="none" w:sz="0" w:space="0" w:color="auto"/>
        <w:left w:val="none" w:sz="0" w:space="0" w:color="auto"/>
        <w:bottom w:val="none" w:sz="0" w:space="0" w:color="auto"/>
        <w:right w:val="none" w:sz="0" w:space="0" w:color="auto"/>
      </w:divBdr>
    </w:div>
    <w:div w:id="564149150">
      <w:bodyDiv w:val="1"/>
      <w:marLeft w:val="0"/>
      <w:marRight w:val="0"/>
      <w:marTop w:val="0"/>
      <w:marBottom w:val="0"/>
      <w:divBdr>
        <w:top w:val="none" w:sz="0" w:space="0" w:color="auto"/>
        <w:left w:val="none" w:sz="0" w:space="0" w:color="auto"/>
        <w:bottom w:val="none" w:sz="0" w:space="0" w:color="auto"/>
        <w:right w:val="none" w:sz="0" w:space="0" w:color="auto"/>
      </w:divBdr>
    </w:div>
    <w:div w:id="858466451">
      <w:bodyDiv w:val="1"/>
      <w:marLeft w:val="0"/>
      <w:marRight w:val="0"/>
      <w:marTop w:val="0"/>
      <w:marBottom w:val="0"/>
      <w:divBdr>
        <w:top w:val="none" w:sz="0" w:space="0" w:color="auto"/>
        <w:left w:val="none" w:sz="0" w:space="0" w:color="auto"/>
        <w:bottom w:val="none" w:sz="0" w:space="0" w:color="auto"/>
        <w:right w:val="none" w:sz="0" w:space="0" w:color="auto"/>
      </w:divBdr>
    </w:div>
    <w:div w:id="864558651">
      <w:bodyDiv w:val="1"/>
      <w:marLeft w:val="0"/>
      <w:marRight w:val="0"/>
      <w:marTop w:val="0"/>
      <w:marBottom w:val="0"/>
      <w:divBdr>
        <w:top w:val="none" w:sz="0" w:space="0" w:color="auto"/>
        <w:left w:val="none" w:sz="0" w:space="0" w:color="auto"/>
        <w:bottom w:val="none" w:sz="0" w:space="0" w:color="auto"/>
        <w:right w:val="none" w:sz="0" w:space="0" w:color="auto"/>
      </w:divBdr>
    </w:div>
    <w:div w:id="1134711613">
      <w:bodyDiv w:val="1"/>
      <w:marLeft w:val="0"/>
      <w:marRight w:val="0"/>
      <w:marTop w:val="0"/>
      <w:marBottom w:val="0"/>
      <w:divBdr>
        <w:top w:val="none" w:sz="0" w:space="0" w:color="auto"/>
        <w:left w:val="none" w:sz="0" w:space="0" w:color="auto"/>
        <w:bottom w:val="none" w:sz="0" w:space="0" w:color="auto"/>
        <w:right w:val="none" w:sz="0" w:space="0" w:color="auto"/>
      </w:divBdr>
    </w:div>
    <w:div w:id="1262030387">
      <w:bodyDiv w:val="1"/>
      <w:marLeft w:val="0"/>
      <w:marRight w:val="0"/>
      <w:marTop w:val="0"/>
      <w:marBottom w:val="0"/>
      <w:divBdr>
        <w:top w:val="none" w:sz="0" w:space="0" w:color="auto"/>
        <w:left w:val="none" w:sz="0" w:space="0" w:color="auto"/>
        <w:bottom w:val="none" w:sz="0" w:space="0" w:color="auto"/>
        <w:right w:val="none" w:sz="0" w:space="0" w:color="auto"/>
      </w:divBdr>
    </w:div>
    <w:div w:id="1367171758">
      <w:bodyDiv w:val="1"/>
      <w:marLeft w:val="0"/>
      <w:marRight w:val="0"/>
      <w:marTop w:val="0"/>
      <w:marBottom w:val="0"/>
      <w:divBdr>
        <w:top w:val="none" w:sz="0" w:space="0" w:color="auto"/>
        <w:left w:val="none" w:sz="0" w:space="0" w:color="auto"/>
        <w:bottom w:val="none" w:sz="0" w:space="0" w:color="auto"/>
        <w:right w:val="none" w:sz="0" w:space="0" w:color="auto"/>
      </w:divBdr>
    </w:div>
    <w:div w:id="1682008011">
      <w:bodyDiv w:val="1"/>
      <w:marLeft w:val="0"/>
      <w:marRight w:val="0"/>
      <w:marTop w:val="0"/>
      <w:marBottom w:val="0"/>
      <w:divBdr>
        <w:top w:val="none" w:sz="0" w:space="0" w:color="auto"/>
        <w:left w:val="none" w:sz="0" w:space="0" w:color="auto"/>
        <w:bottom w:val="none" w:sz="0" w:space="0" w:color="auto"/>
        <w:right w:val="none" w:sz="0" w:space="0" w:color="auto"/>
      </w:divBdr>
    </w:div>
    <w:div w:id="1735739823">
      <w:bodyDiv w:val="1"/>
      <w:marLeft w:val="0"/>
      <w:marRight w:val="0"/>
      <w:marTop w:val="0"/>
      <w:marBottom w:val="0"/>
      <w:divBdr>
        <w:top w:val="none" w:sz="0" w:space="0" w:color="auto"/>
        <w:left w:val="none" w:sz="0" w:space="0" w:color="auto"/>
        <w:bottom w:val="none" w:sz="0" w:space="0" w:color="auto"/>
        <w:right w:val="none" w:sz="0" w:space="0" w:color="auto"/>
      </w:divBdr>
    </w:div>
    <w:div w:id="1791625171">
      <w:bodyDiv w:val="1"/>
      <w:marLeft w:val="0"/>
      <w:marRight w:val="0"/>
      <w:marTop w:val="0"/>
      <w:marBottom w:val="0"/>
      <w:divBdr>
        <w:top w:val="none" w:sz="0" w:space="0" w:color="auto"/>
        <w:left w:val="none" w:sz="0" w:space="0" w:color="auto"/>
        <w:bottom w:val="none" w:sz="0" w:space="0" w:color="auto"/>
        <w:right w:val="none" w:sz="0" w:space="0" w:color="auto"/>
      </w:divBdr>
    </w:div>
    <w:div w:id="2018996717">
      <w:bodyDiv w:val="1"/>
      <w:marLeft w:val="0"/>
      <w:marRight w:val="0"/>
      <w:marTop w:val="0"/>
      <w:marBottom w:val="0"/>
      <w:divBdr>
        <w:top w:val="none" w:sz="0" w:space="0" w:color="auto"/>
        <w:left w:val="none" w:sz="0" w:space="0" w:color="auto"/>
        <w:bottom w:val="none" w:sz="0" w:space="0" w:color="auto"/>
        <w:right w:val="none" w:sz="0" w:space="0" w:color="auto"/>
      </w:divBdr>
    </w:div>
    <w:div w:id="209462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1A355-C944-4915-A787-B0E0B7C5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2151</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Annual Drinking Water Quality Report for 2006</vt:lpstr>
    </vt:vector>
  </TitlesOfParts>
  <Company>Chemung County</Company>
  <LinksUpToDate>false</LinksUpToDate>
  <CharactersWithSpaces>13956</CharactersWithSpaces>
  <SharedDoc>false</SharedDoc>
  <HLinks>
    <vt:vector size="6" baseType="variant">
      <vt:variant>
        <vt:i4>5701636</vt:i4>
      </vt:variant>
      <vt:variant>
        <vt:i4>0</vt:i4>
      </vt:variant>
      <vt:variant>
        <vt:i4>0</vt:i4>
      </vt:variant>
      <vt:variant>
        <vt:i4>5</vt:i4>
      </vt:variant>
      <vt:variant>
        <vt:lpwstr>http://www.epa.gov/safewater/lead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Drinking Water Quality Report for 2006</dc:title>
  <dc:subject/>
  <dc:creator>Mary Lou Palmer</dc:creator>
  <cp:keywords/>
  <cp:lastModifiedBy>Rathbun, Dennis</cp:lastModifiedBy>
  <cp:revision>2</cp:revision>
  <cp:lastPrinted>2022-06-07T13:05:00Z</cp:lastPrinted>
  <dcterms:created xsi:type="dcterms:W3CDTF">2022-06-07T14:41:00Z</dcterms:created>
  <dcterms:modified xsi:type="dcterms:W3CDTF">2022-06-07T14:41:00Z</dcterms:modified>
</cp:coreProperties>
</file>